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3AD99" w14:textId="77777777" w:rsidR="001E1B10" w:rsidRDefault="00000000">
      <w:pPr>
        <w:spacing w:before="2" w:after="202"/>
        <w:ind w:left="8222" w:right="77"/>
        <w:textAlignment w:val="baseline"/>
      </w:pPr>
      <w:r>
        <w:rPr>
          <w:noProof/>
        </w:rPr>
        <w:drawing>
          <wp:inline distT="0" distB="0" distL="0" distR="0" wp14:anchorId="290B5E04" wp14:editId="34228BF5">
            <wp:extent cx="1359535" cy="53657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7A98F" w14:textId="77777777" w:rsidR="001E1B10" w:rsidRDefault="00000000">
      <w:pPr>
        <w:spacing w:line="491" w:lineRule="exact"/>
        <w:textAlignment w:val="baseline"/>
        <w:rPr>
          <w:rFonts w:ascii="Arial" w:eastAsia="Arial" w:hAnsi="Arial"/>
          <w:b/>
          <w:color w:val="000000"/>
          <w:sz w:val="44"/>
        </w:rPr>
      </w:pPr>
      <w:r>
        <w:pict w14:anchorId="2C5FFAF1">
          <v:line id="_x0000_s1027" style="position:absolute;z-index:251657216;mso-position-horizontal-relative:page;mso-position-vertical-relative:page" from="49.7pt,55.45pt" to="453.9pt,55.45pt" strokecolor="#29579c" strokeweight="3.6pt">
            <w10:wrap anchorx="page" anchory="page"/>
          </v:line>
        </w:pict>
      </w:r>
      <w:r>
        <w:rPr>
          <w:rFonts w:ascii="Arial" w:eastAsia="Arial" w:hAnsi="Arial"/>
          <w:b/>
          <w:color w:val="000000"/>
          <w:sz w:val="44"/>
        </w:rPr>
        <w:t>Impact Analysis Statement</w:t>
      </w:r>
    </w:p>
    <w:p w14:paraId="5CB0D121" w14:textId="77777777" w:rsidR="001E1B10" w:rsidRDefault="00000000">
      <w:pPr>
        <w:spacing w:before="247" w:line="347" w:lineRule="exact"/>
        <w:textAlignment w:val="baseline"/>
        <w:rPr>
          <w:rFonts w:ascii="Arial" w:eastAsia="Arial" w:hAnsi="Arial"/>
          <w:b/>
          <w:color w:val="000000"/>
          <w:spacing w:val="-1"/>
          <w:sz w:val="30"/>
        </w:rPr>
      </w:pPr>
      <w:r>
        <w:rPr>
          <w:rFonts w:ascii="Arial" w:eastAsia="Arial" w:hAnsi="Arial"/>
          <w:b/>
          <w:color w:val="000000"/>
          <w:spacing w:val="-1"/>
          <w:sz w:val="30"/>
        </w:rPr>
        <w:t>Summary IAS</w:t>
      </w:r>
    </w:p>
    <w:p w14:paraId="0653B456" w14:textId="77777777" w:rsidR="001E1B10" w:rsidRDefault="00000000">
      <w:pPr>
        <w:spacing w:before="159" w:after="142" w:line="274" w:lineRule="exact"/>
        <w:textAlignment w:val="baseline"/>
        <w:rPr>
          <w:rFonts w:ascii="Arial" w:eastAsia="Arial" w:hAnsi="Arial"/>
          <w:b/>
          <w:color w:val="000000"/>
          <w:spacing w:val="-3"/>
          <w:sz w:val="24"/>
        </w:rPr>
      </w:pPr>
      <w:r>
        <w:rPr>
          <w:rFonts w:ascii="Arial" w:eastAsia="Arial" w:hAnsi="Arial"/>
          <w:b/>
          <w:color w:val="000000"/>
          <w:spacing w:val="-3"/>
          <w:sz w:val="24"/>
        </w:rPr>
        <w:t>Details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4"/>
        <w:gridCol w:w="6336"/>
      </w:tblGrid>
      <w:tr w:rsidR="001E1B10" w14:paraId="5F0EAB93" w14:textId="77777777">
        <w:trPr>
          <w:trHeight w:hRule="exact" w:val="595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39F672" w14:textId="77777777" w:rsidR="001E1B10" w:rsidRDefault="00000000">
            <w:pPr>
              <w:spacing w:before="194" w:after="171" w:line="225" w:lineRule="exact"/>
              <w:ind w:left="120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Lead department</w:t>
            </w:r>
          </w:p>
        </w:tc>
        <w:tc>
          <w:tcPr>
            <w:tcW w:w="6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05DE3" w14:textId="77777777" w:rsidR="001E1B10" w:rsidRDefault="00000000">
            <w:pPr>
              <w:spacing w:before="75" w:after="55" w:line="230" w:lineRule="exact"/>
              <w:ind w:left="108" w:right="144"/>
              <w:jc w:val="both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/>
                <w:color w:val="000000"/>
                <w:spacing w:val="-2"/>
                <w:sz w:val="20"/>
              </w:rPr>
              <w:t>Department of Families, Seniors, Disability Services and Child Safety (</w:t>
            </w:r>
            <w:proofErr w:type="spellStart"/>
            <w:r>
              <w:rPr>
                <w:rFonts w:ascii="Arial" w:eastAsia="Arial" w:hAnsi="Arial"/>
                <w:color w:val="000000"/>
                <w:spacing w:val="-2"/>
                <w:sz w:val="20"/>
              </w:rPr>
              <w:t>DFSDSCS</w:t>
            </w:r>
            <w:proofErr w:type="spellEnd"/>
            <w:r>
              <w:rPr>
                <w:rFonts w:ascii="Arial" w:eastAsia="Arial" w:hAnsi="Arial"/>
                <w:color w:val="000000"/>
                <w:spacing w:val="-2"/>
                <w:sz w:val="20"/>
              </w:rPr>
              <w:t>); Queensland Police Service; Department of Justice</w:t>
            </w:r>
          </w:p>
        </w:tc>
      </w:tr>
      <w:tr w:rsidR="001E1B10" w14:paraId="6D734BAE" w14:textId="77777777">
        <w:trPr>
          <w:trHeight w:hRule="exact" w:val="591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D905A3" w14:textId="77777777" w:rsidR="001E1B10" w:rsidRDefault="00000000">
            <w:pPr>
              <w:spacing w:before="190" w:after="170" w:line="225" w:lineRule="exact"/>
              <w:ind w:left="120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Name of the proposal</w:t>
            </w:r>
          </w:p>
        </w:tc>
        <w:tc>
          <w:tcPr>
            <w:tcW w:w="6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A12E3" w14:textId="77777777" w:rsidR="001E1B10" w:rsidRDefault="00000000">
            <w:pPr>
              <w:spacing w:before="70" w:after="55" w:line="230" w:lineRule="exact"/>
              <w:ind w:left="108" w:right="144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Domestic and Family Violence Protection and Other Legislation Amendment Bill 2025</w:t>
            </w:r>
          </w:p>
        </w:tc>
      </w:tr>
      <w:tr w:rsidR="001E1B10" w14:paraId="575587BE" w14:textId="77777777">
        <w:trPr>
          <w:trHeight w:hRule="exact" w:val="528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B3B68" w14:textId="77777777" w:rsidR="001E1B10" w:rsidRDefault="00000000">
            <w:pPr>
              <w:spacing w:before="156" w:after="146" w:line="225" w:lineRule="exact"/>
              <w:ind w:left="120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Submission type</w:t>
            </w:r>
          </w:p>
        </w:tc>
        <w:tc>
          <w:tcPr>
            <w:tcW w:w="6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9305E2" w14:textId="77777777" w:rsidR="001E1B10" w:rsidRDefault="00000000">
            <w:pPr>
              <w:spacing w:before="151" w:after="146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Summary IAS</w:t>
            </w:r>
          </w:p>
        </w:tc>
      </w:tr>
      <w:tr w:rsidR="001E1B10" w14:paraId="1E8F82BF" w14:textId="77777777">
        <w:trPr>
          <w:trHeight w:hRule="exact" w:val="1617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45594C" w14:textId="77777777" w:rsidR="001E1B10" w:rsidRDefault="00000000">
            <w:pPr>
              <w:spacing w:before="583" w:after="569" w:line="230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Title of related legislative or regulatory instrument</w:t>
            </w:r>
          </w:p>
        </w:tc>
        <w:tc>
          <w:tcPr>
            <w:tcW w:w="6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F60D9" w14:textId="77777777" w:rsidR="001E1B10" w:rsidRDefault="00000000">
            <w:pPr>
              <w:spacing w:line="230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</w:rPr>
              <w:t>Domestic and Family Violence Protection Act 2012</w:t>
            </w:r>
          </w:p>
          <w:p w14:paraId="53B32D10" w14:textId="77777777" w:rsidR="001E1B10" w:rsidRDefault="00000000">
            <w:pPr>
              <w:spacing w:line="230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</w:rPr>
              <w:t>Domestic and Family Violence Protection Regulation 2023</w:t>
            </w:r>
          </w:p>
          <w:p w14:paraId="1BD49C8D" w14:textId="77777777" w:rsidR="001E1B10" w:rsidRDefault="00000000">
            <w:pPr>
              <w:spacing w:line="230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</w:rPr>
              <w:t>Domestic and Family Violence Protection Rules 2014</w:t>
            </w:r>
          </w:p>
          <w:p w14:paraId="4686899D" w14:textId="77777777" w:rsidR="001E1B10" w:rsidRDefault="00000000">
            <w:pPr>
              <w:spacing w:before="1" w:line="230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</w:rPr>
              <w:t>Police Powers and Responsibilities Act 2000</w:t>
            </w:r>
          </w:p>
          <w:p w14:paraId="325A3550" w14:textId="77777777" w:rsidR="001E1B10" w:rsidRDefault="00000000">
            <w:pPr>
              <w:spacing w:line="230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</w:rPr>
              <w:t>Evidence Act 1977</w:t>
            </w:r>
          </w:p>
          <w:p w14:paraId="49BBF968" w14:textId="77777777" w:rsidR="001E1B10" w:rsidRDefault="00000000">
            <w:pPr>
              <w:spacing w:before="1" w:line="230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</w:rPr>
              <w:t>Weapons Act 1990</w:t>
            </w:r>
          </w:p>
          <w:p w14:paraId="4B5BDF3A" w14:textId="77777777" w:rsidR="001E1B10" w:rsidRDefault="00000000">
            <w:pPr>
              <w:spacing w:line="223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</w:rPr>
              <w:t>Penalties and Sentences Act 1992</w:t>
            </w:r>
          </w:p>
        </w:tc>
      </w:tr>
      <w:tr w:rsidR="001E1B10" w14:paraId="0D795AF2" w14:textId="77777777">
        <w:trPr>
          <w:trHeight w:hRule="exact" w:val="437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97A897" w14:textId="77777777" w:rsidR="001E1B10" w:rsidRDefault="00000000">
            <w:pPr>
              <w:spacing w:before="108" w:after="94" w:line="225" w:lineRule="exact"/>
              <w:ind w:left="120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Date of issue</w:t>
            </w:r>
          </w:p>
        </w:tc>
        <w:tc>
          <w:tcPr>
            <w:tcW w:w="6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2B5C1C" w14:textId="77777777" w:rsidR="001E1B10" w:rsidRDefault="00000000">
            <w:pPr>
              <w:spacing w:before="103" w:after="94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April 2025</w:t>
            </w:r>
          </w:p>
        </w:tc>
      </w:tr>
    </w:tbl>
    <w:p w14:paraId="03A2A5F2" w14:textId="77777777" w:rsidR="001E1B10" w:rsidRDefault="001E1B10">
      <w:pPr>
        <w:spacing w:after="129" w:line="20" w:lineRule="exact"/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2"/>
        <w:gridCol w:w="6888"/>
      </w:tblGrid>
      <w:tr w:rsidR="001E1B10" w14:paraId="3266413A" w14:textId="77777777">
        <w:trPr>
          <w:trHeight w:hRule="exact" w:val="408"/>
        </w:trPr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5C5C7" w:fill="C5C5C7"/>
            <w:vAlign w:val="center"/>
          </w:tcPr>
          <w:p w14:paraId="11C4F8F4" w14:textId="77777777" w:rsidR="001E1B10" w:rsidRDefault="00000000">
            <w:pPr>
              <w:spacing w:before="99" w:after="79" w:line="225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Proposal type</w:t>
            </w:r>
          </w:p>
        </w:tc>
        <w:tc>
          <w:tcPr>
            <w:tcW w:w="6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5C5C7" w:fill="C5C5C7"/>
            <w:vAlign w:val="center"/>
          </w:tcPr>
          <w:p w14:paraId="4C8F596B" w14:textId="77777777" w:rsidR="001E1B10" w:rsidRDefault="00000000">
            <w:pPr>
              <w:spacing w:before="99" w:after="79" w:line="225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Details</w:t>
            </w:r>
          </w:p>
        </w:tc>
      </w:tr>
      <w:tr w:rsidR="001E1B10" w14:paraId="11BCDC26" w14:textId="77777777">
        <w:trPr>
          <w:trHeight w:hRule="exact" w:val="1675"/>
        </w:trPr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E1225E" w14:textId="77777777" w:rsidR="001E1B10" w:rsidRDefault="00000000">
            <w:pPr>
              <w:spacing w:before="612" w:after="593" w:line="230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Minor and machinery in nature</w:t>
            </w:r>
          </w:p>
        </w:tc>
        <w:tc>
          <w:tcPr>
            <w:tcW w:w="6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030E3" w14:textId="77777777" w:rsidR="001E1B10" w:rsidRDefault="00000000">
            <w:pPr>
              <w:spacing w:before="70" w:line="230" w:lineRule="exact"/>
              <w:ind w:left="144" w:right="432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The regulatory proposals are minor and machinery in nature as they are either corrections, technical errors and minor updates or routine updates (no substantive regulatory or policy change).</w:t>
            </w:r>
          </w:p>
          <w:p w14:paraId="43904BE8" w14:textId="77777777" w:rsidR="001E1B10" w:rsidRDefault="00000000">
            <w:pPr>
              <w:spacing w:before="165" w:after="50" w:line="230" w:lineRule="exact"/>
              <w:ind w:left="144" w:right="50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As nothing is currently prescribed by regulation regarding the approved provider list for court intervention orders for respondents of domestic violence orders this proposal will have no impacts.</w:t>
            </w:r>
          </w:p>
        </w:tc>
      </w:tr>
      <w:tr w:rsidR="001E1B10" w14:paraId="454AB292" w14:textId="77777777">
        <w:trPr>
          <w:trHeight w:hRule="exact" w:val="1090"/>
        </w:trPr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56619E" w14:textId="77777777" w:rsidR="001E1B10" w:rsidRDefault="00000000">
            <w:pPr>
              <w:spacing w:before="315" w:after="310" w:line="230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Regulatory proposals where no RIA is required</w:t>
            </w:r>
          </w:p>
        </w:tc>
        <w:tc>
          <w:tcPr>
            <w:tcW w:w="6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EBACA3" w14:textId="77777777" w:rsidR="001E1B10" w:rsidRDefault="00000000">
            <w:pPr>
              <w:spacing w:before="200" w:after="195" w:line="230" w:lineRule="exact"/>
              <w:ind w:left="108" w:right="360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/>
                <w:color w:val="000000"/>
                <w:spacing w:val="-2"/>
                <w:sz w:val="20"/>
              </w:rPr>
              <w:t>Other regulatory proposals relate to police powers and administration, general criminal laws and the administration of courts and tribunals. No regulatory impact analysis is required under the Better Regulation Policy.</w:t>
            </w:r>
          </w:p>
        </w:tc>
      </w:tr>
    </w:tbl>
    <w:p w14:paraId="5DB15E35" w14:textId="77777777" w:rsidR="001E1B10" w:rsidRDefault="001E1B10">
      <w:pPr>
        <w:spacing w:after="249" w:line="20" w:lineRule="exact"/>
      </w:pPr>
    </w:p>
    <w:p w14:paraId="787808EB" w14:textId="77777777" w:rsidR="001E1B10" w:rsidRDefault="001E1B10">
      <w:pPr>
        <w:spacing w:after="249" w:line="20" w:lineRule="exact"/>
        <w:sectPr w:rsidR="001E1B10">
          <w:pgSz w:w="11909" w:h="16838"/>
          <w:pgMar w:top="300" w:right="614" w:bottom="129" w:left="855" w:header="720" w:footer="720" w:gutter="0"/>
          <w:cols w:space="720"/>
        </w:sectPr>
      </w:pPr>
    </w:p>
    <w:p w14:paraId="2FFB0E44" w14:textId="2A58265D" w:rsidR="001E1B10" w:rsidRDefault="001E1B10">
      <w:pPr>
        <w:spacing w:after="262"/>
        <w:ind w:right="8"/>
        <w:textAlignment w:val="baseline"/>
      </w:pPr>
    </w:p>
    <w:p w14:paraId="4D5F19F3" w14:textId="77777777" w:rsidR="001E1B10" w:rsidRDefault="001E1B10">
      <w:pPr>
        <w:spacing w:after="262"/>
        <w:sectPr w:rsidR="001E1B10">
          <w:type w:val="continuous"/>
          <w:pgSz w:w="11909" w:h="16838"/>
          <w:pgMar w:top="300" w:right="4091" w:bottom="129" w:left="1238" w:header="720" w:footer="720" w:gutter="0"/>
          <w:cols w:space="720"/>
        </w:sectPr>
      </w:pPr>
    </w:p>
    <w:p w14:paraId="5473518C" w14:textId="77777777" w:rsidR="001E1B10" w:rsidRDefault="00000000">
      <w:pPr>
        <w:spacing w:line="230" w:lineRule="exact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>Belinda Drew</w:t>
      </w:r>
    </w:p>
    <w:p w14:paraId="670C52A1" w14:textId="77777777" w:rsidR="001E1B10" w:rsidRDefault="00000000">
      <w:pPr>
        <w:spacing w:line="230" w:lineRule="exact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>Director-General</w:t>
      </w:r>
    </w:p>
    <w:p w14:paraId="5ECAE478" w14:textId="77777777" w:rsidR="001E1B10" w:rsidRDefault="00000000">
      <w:pPr>
        <w:spacing w:line="230" w:lineRule="exact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>Department of Families, Seniors, Disability Services</w:t>
      </w:r>
    </w:p>
    <w:p w14:paraId="28ABC4B5" w14:textId="77777777" w:rsidR="001E1B10" w:rsidRDefault="00000000">
      <w:pPr>
        <w:spacing w:before="1" w:line="230" w:lineRule="exact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>and Child Safety</w:t>
      </w:r>
    </w:p>
    <w:p w14:paraId="60A629EB" w14:textId="77777777" w:rsidR="001E1B10" w:rsidRDefault="00000000">
      <w:pPr>
        <w:spacing w:after="123" w:line="230" w:lineRule="exact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>Date: 25/04/2025</w:t>
      </w:r>
    </w:p>
    <w:p w14:paraId="61A3183A" w14:textId="12C49A53" w:rsidR="001E1B10" w:rsidRDefault="001E1B10">
      <w:pPr>
        <w:spacing w:after="108"/>
        <w:ind w:left="140" w:right="2452"/>
        <w:textAlignment w:val="baseline"/>
      </w:pPr>
    </w:p>
    <w:p w14:paraId="48E54C93" w14:textId="77777777" w:rsidR="001E1B10" w:rsidRDefault="00000000">
      <w:pPr>
        <w:spacing w:line="229" w:lineRule="exact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 xml:space="preserve">Shane </w:t>
      </w:r>
      <w:proofErr w:type="spellStart"/>
      <w:r>
        <w:rPr>
          <w:rFonts w:ascii="Arial" w:eastAsia="Arial" w:hAnsi="Arial"/>
          <w:color w:val="000000"/>
          <w:spacing w:val="-1"/>
          <w:sz w:val="20"/>
        </w:rPr>
        <w:t>Chelepy</w:t>
      </w:r>
      <w:proofErr w:type="spellEnd"/>
    </w:p>
    <w:p w14:paraId="1FB785A3" w14:textId="77777777" w:rsidR="001E1B10" w:rsidRDefault="00000000">
      <w:pPr>
        <w:spacing w:before="1" w:line="230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Acting Commissioner of Police</w:t>
      </w:r>
    </w:p>
    <w:p w14:paraId="5E8E76B6" w14:textId="77777777" w:rsidR="001E1B10" w:rsidRDefault="00000000">
      <w:pPr>
        <w:spacing w:line="223" w:lineRule="exact"/>
        <w:textAlignment w:val="baseline"/>
        <w:rPr>
          <w:rFonts w:ascii="Arial" w:eastAsia="Arial" w:hAnsi="Arial"/>
          <w:color w:val="000000"/>
          <w:spacing w:val="-4"/>
          <w:sz w:val="20"/>
        </w:rPr>
      </w:pPr>
      <w:r>
        <w:rPr>
          <w:rFonts w:ascii="Arial" w:eastAsia="Arial" w:hAnsi="Arial"/>
          <w:color w:val="000000"/>
          <w:spacing w:val="-4"/>
          <w:sz w:val="20"/>
        </w:rPr>
        <w:t xml:space="preserve">Date: 26/04/2025 </w:t>
      </w:r>
    </w:p>
    <w:p w14:paraId="1A6CFC4F" w14:textId="77777777" w:rsidR="001E1B10" w:rsidRDefault="00000000">
      <w:pPr>
        <w:spacing w:before="187" w:line="230" w:lineRule="exact"/>
        <w:textAlignment w:val="baseline"/>
        <w:rPr>
          <w:rFonts w:ascii="Arial" w:eastAsia="Arial" w:hAnsi="Arial"/>
          <w:color w:val="000000"/>
          <w:sz w:val="20"/>
        </w:rPr>
      </w:pPr>
      <w:r>
        <w:br w:type="column"/>
      </w:r>
      <w:r>
        <w:rPr>
          <w:rFonts w:ascii="Arial" w:eastAsia="Arial" w:hAnsi="Arial"/>
          <w:color w:val="000000"/>
          <w:sz w:val="20"/>
        </w:rPr>
        <w:t xml:space="preserve">Amanda </w:t>
      </w:r>
      <w:proofErr w:type="spellStart"/>
      <w:r>
        <w:rPr>
          <w:rFonts w:ascii="Arial" w:eastAsia="Arial" w:hAnsi="Arial"/>
          <w:color w:val="000000"/>
          <w:sz w:val="20"/>
        </w:rPr>
        <w:t>Camm</w:t>
      </w:r>
      <w:proofErr w:type="spellEnd"/>
      <w:r>
        <w:rPr>
          <w:rFonts w:ascii="Arial" w:eastAsia="Arial" w:hAnsi="Arial"/>
          <w:color w:val="000000"/>
          <w:sz w:val="20"/>
        </w:rPr>
        <w:t xml:space="preserve"> MP</w:t>
      </w:r>
    </w:p>
    <w:p w14:paraId="62183485" w14:textId="77777777" w:rsidR="001E1B10" w:rsidRDefault="00000000">
      <w:pPr>
        <w:spacing w:line="230" w:lineRule="exact"/>
        <w:textAlignment w:val="baseline"/>
        <w:rPr>
          <w:rFonts w:ascii="Arial" w:eastAsia="Arial" w:hAnsi="Arial"/>
          <w:color w:val="000000"/>
          <w:spacing w:val="-2"/>
          <w:sz w:val="20"/>
        </w:rPr>
      </w:pPr>
      <w:r>
        <w:rPr>
          <w:rFonts w:ascii="Arial" w:eastAsia="Arial" w:hAnsi="Arial"/>
          <w:color w:val="000000"/>
          <w:spacing w:val="-2"/>
          <w:sz w:val="20"/>
        </w:rPr>
        <w:t>Minister for Families, Seniors and Disability Services</w:t>
      </w:r>
    </w:p>
    <w:p w14:paraId="55A3B9A4" w14:textId="77777777" w:rsidR="001E1B10" w:rsidRDefault="00000000">
      <w:pPr>
        <w:spacing w:before="1" w:line="230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Minister for Child Safety and the Prevention of</w:t>
      </w:r>
    </w:p>
    <w:p w14:paraId="0515B4EE" w14:textId="77777777" w:rsidR="001E1B10" w:rsidRDefault="00000000">
      <w:pPr>
        <w:spacing w:line="225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Domestic and Family Violence</w:t>
      </w:r>
    </w:p>
    <w:p w14:paraId="2CCAB49A" w14:textId="77777777" w:rsidR="001E1B10" w:rsidRDefault="00000000">
      <w:pPr>
        <w:spacing w:before="1" w:after="113" w:line="230" w:lineRule="exact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>Date: 26/04/2025</w:t>
      </w:r>
    </w:p>
    <w:p w14:paraId="777F3CE0" w14:textId="1B612225" w:rsidR="001E1B10" w:rsidRDefault="001E1B10">
      <w:pPr>
        <w:spacing w:after="50"/>
        <w:ind w:left="94" w:right="3526"/>
        <w:textAlignment w:val="baseline"/>
      </w:pPr>
    </w:p>
    <w:p w14:paraId="674F61C5" w14:textId="77777777" w:rsidR="001E1B10" w:rsidRDefault="00000000">
      <w:pPr>
        <w:spacing w:line="230" w:lineRule="exact"/>
        <w:textAlignment w:val="baseline"/>
        <w:rPr>
          <w:rFonts w:ascii="Arial" w:eastAsia="Arial" w:hAnsi="Arial"/>
          <w:color w:val="000000"/>
          <w:spacing w:val="-2"/>
          <w:sz w:val="20"/>
        </w:rPr>
      </w:pPr>
      <w:r>
        <w:rPr>
          <w:rFonts w:ascii="Arial" w:eastAsia="Arial" w:hAnsi="Arial"/>
          <w:color w:val="000000"/>
          <w:spacing w:val="-2"/>
          <w:sz w:val="20"/>
        </w:rPr>
        <w:t>Dan Purdie MP</w:t>
      </w:r>
    </w:p>
    <w:p w14:paraId="6B66C145" w14:textId="77777777" w:rsidR="001E1B10" w:rsidRDefault="00000000">
      <w:pPr>
        <w:spacing w:line="230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Minister for Police and Emergency Services</w:t>
      </w:r>
    </w:p>
    <w:p w14:paraId="601153D3" w14:textId="77777777" w:rsidR="001E1B10" w:rsidRDefault="00000000">
      <w:pPr>
        <w:spacing w:before="1" w:after="7" w:line="230" w:lineRule="exact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>Date: 26/04/2025</w:t>
      </w:r>
    </w:p>
    <w:p w14:paraId="13C9A4E4" w14:textId="77777777" w:rsidR="001E1B10" w:rsidRDefault="001E1B10">
      <w:pPr>
        <w:spacing w:before="1" w:after="7" w:line="230" w:lineRule="exact"/>
        <w:sectPr w:rsidR="001E1B10">
          <w:type w:val="continuous"/>
          <w:pgSz w:w="11909" w:h="16838"/>
          <w:pgMar w:top="300" w:right="1169" w:bottom="129" w:left="921" w:header="720" w:footer="720" w:gutter="0"/>
          <w:cols w:num="2" w:space="0" w:equalWidth="0">
            <w:col w:w="4680" w:space="459"/>
            <w:col w:w="4680" w:space="0"/>
          </w:cols>
        </w:sectPr>
      </w:pPr>
    </w:p>
    <w:p w14:paraId="39C76D22" w14:textId="78679D8F" w:rsidR="001E1B10" w:rsidRDefault="001E1B10">
      <w:pPr>
        <w:spacing w:before="46"/>
        <w:ind w:right="116"/>
        <w:textAlignment w:val="baseline"/>
      </w:pPr>
    </w:p>
    <w:p w14:paraId="080857AA" w14:textId="77777777" w:rsidR="001E1B10" w:rsidRDefault="00000000">
      <w:pPr>
        <w:tabs>
          <w:tab w:val="left" w:pos="5184"/>
        </w:tabs>
        <w:spacing w:line="226" w:lineRule="exact"/>
        <w:ind w:left="72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>Kate Connors</w:t>
      </w:r>
      <w:r>
        <w:rPr>
          <w:rFonts w:ascii="Arial" w:eastAsia="Arial" w:hAnsi="Arial"/>
          <w:color w:val="000000"/>
          <w:spacing w:val="-1"/>
          <w:sz w:val="20"/>
        </w:rPr>
        <w:tab/>
        <w:t xml:space="preserve">Deb </w:t>
      </w:r>
      <w:proofErr w:type="spellStart"/>
      <w:r>
        <w:rPr>
          <w:rFonts w:ascii="Arial" w:eastAsia="Arial" w:hAnsi="Arial"/>
          <w:color w:val="000000"/>
          <w:spacing w:val="-1"/>
          <w:sz w:val="20"/>
        </w:rPr>
        <w:t>Frecklington</w:t>
      </w:r>
      <w:proofErr w:type="spellEnd"/>
      <w:r>
        <w:rPr>
          <w:rFonts w:ascii="Arial" w:eastAsia="Arial" w:hAnsi="Arial"/>
          <w:color w:val="000000"/>
          <w:spacing w:val="-1"/>
          <w:sz w:val="20"/>
        </w:rPr>
        <w:t xml:space="preserve"> MP</w:t>
      </w:r>
    </w:p>
    <w:p w14:paraId="4317C922" w14:textId="77777777" w:rsidR="001E1B10" w:rsidRDefault="00000000">
      <w:pPr>
        <w:tabs>
          <w:tab w:val="left" w:pos="5184"/>
        </w:tabs>
        <w:spacing w:before="2" w:line="230" w:lineRule="exact"/>
        <w:ind w:left="72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Acting Director-General</w:t>
      </w:r>
      <w:r>
        <w:rPr>
          <w:rFonts w:ascii="Arial" w:eastAsia="Arial" w:hAnsi="Arial"/>
          <w:color w:val="000000"/>
          <w:sz w:val="20"/>
        </w:rPr>
        <w:tab/>
        <w:t>Attorney-General and Minister for Justice</w:t>
      </w:r>
    </w:p>
    <w:p w14:paraId="028BF5EC" w14:textId="77777777" w:rsidR="001E1B10" w:rsidRDefault="00000000">
      <w:pPr>
        <w:tabs>
          <w:tab w:val="left" w:pos="5184"/>
        </w:tabs>
        <w:spacing w:line="229" w:lineRule="exact"/>
        <w:ind w:left="72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>Department of Justice</w:t>
      </w:r>
      <w:r>
        <w:rPr>
          <w:rFonts w:ascii="Arial" w:eastAsia="Arial" w:hAnsi="Arial"/>
          <w:color w:val="000000"/>
          <w:spacing w:val="-1"/>
          <w:sz w:val="20"/>
        </w:rPr>
        <w:tab/>
        <w:t>Minister for Integrity</w:t>
      </w:r>
    </w:p>
    <w:p w14:paraId="4E6606AC" w14:textId="77777777" w:rsidR="001E1B10" w:rsidRDefault="00000000">
      <w:pPr>
        <w:tabs>
          <w:tab w:val="left" w:pos="5184"/>
        </w:tabs>
        <w:spacing w:after="15" w:line="229" w:lineRule="exact"/>
        <w:ind w:left="72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>Date: 25/04/2025</w:t>
      </w:r>
      <w:r>
        <w:rPr>
          <w:rFonts w:ascii="Arial" w:eastAsia="Arial" w:hAnsi="Arial"/>
          <w:color w:val="000000"/>
          <w:spacing w:val="-1"/>
          <w:sz w:val="20"/>
        </w:rPr>
        <w:tab/>
        <w:t>Date: 25/04/2025</w:t>
      </w:r>
    </w:p>
    <w:p w14:paraId="3B1AC735" w14:textId="77777777" w:rsidR="001E1B10" w:rsidRDefault="00000000">
      <w:pPr>
        <w:spacing w:before="88" w:line="20" w:lineRule="exact"/>
      </w:pPr>
      <w:r>
        <w:pict w14:anchorId="3B52DC20">
          <v:line id="_x0000_s1026" style="position:absolute;z-index:251658240;mso-position-horizontal-relative:page;mso-position-vertical-relative:page" from="46.8pt,791.75pt" to="548.95pt,791.75pt" strokeweight=".7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02"/>
        <w:gridCol w:w="1738"/>
      </w:tblGrid>
      <w:tr w:rsidR="001E1B10" w14:paraId="666C5464" w14:textId="77777777">
        <w:trPr>
          <w:trHeight w:hRule="exact" w:val="585"/>
        </w:trPr>
        <w:tc>
          <w:tcPr>
            <w:tcW w:w="8702" w:type="dxa"/>
          </w:tcPr>
          <w:p w14:paraId="0D591B1E" w14:textId="77777777" w:rsidR="001E1B10" w:rsidRDefault="00000000">
            <w:pPr>
              <w:tabs>
                <w:tab w:val="left" w:pos="5616"/>
              </w:tabs>
              <w:spacing w:after="436" w:line="145" w:lineRule="exact"/>
              <w:ind w:right="3043"/>
              <w:jc w:val="right"/>
              <w:textAlignment w:val="baseline"/>
              <w:rPr>
                <w:rFonts w:ascii="Calibri" w:eastAsia="Calibri" w:hAnsi="Calibri"/>
                <w:color w:val="000000"/>
                <w:spacing w:val="-5"/>
                <w:sz w:val="16"/>
              </w:rPr>
            </w:pPr>
            <w:r>
              <w:rPr>
                <w:rFonts w:ascii="Calibri" w:eastAsia="Calibri" w:hAnsi="Calibri"/>
                <w:color w:val="000000"/>
                <w:spacing w:val="-5"/>
                <w:sz w:val="16"/>
              </w:rPr>
              <w:t>Impact Analysis Statement</w:t>
            </w:r>
            <w:r>
              <w:rPr>
                <w:rFonts w:ascii="Calibri" w:eastAsia="Calibri" w:hAnsi="Calibri"/>
                <w:color w:val="000000"/>
                <w:spacing w:val="-5"/>
                <w:sz w:val="16"/>
              </w:rPr>
              <w:tab/>
              <w:t>1</w:t>
            </w:r>
          </w:p>
        </w:tc>
        <w:tc>
          <w:tcPr>
            <w:tcW w:w="1738" w:type="dxa"/>
          </w:tcPr>
          <w:p w14:paraId="2E71FFBA" w14:textId="77777777" w:rsidR="001E1B10" w:rsidRDefault="00000000">
            <w:pPr>
              <w:spacing w:before="6" w:after="3"/>
              <w:ind w:right="313"/>
              <w:textAlignment w:val="baseline"/>
            </w:pPr>
            <w:r>
              <w:rPr>
                <w:noProof/>
              </w:rPr>
              <w:drawing>
                <wp:inline distT="0" distB="0" distL="0" distR="0" wp14:anchorId="74D39A74" wp14:editId="74D94461">
                  <wp:extent cx="904875" cy="295910"/>
                  <wp:effectExtent l="0" t="0" r="0" b="0"/>
                  <wp:docPr id="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29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EE67A7" w14:textId="77777777" w:rsidR="007951E5" w:rsidRDefault="007951E5"/>
    <w:sectPr w:rsidR="007951E5">
      <w:type w:val="continuous"/>
      <w:pgSz w:w="11909" w:h="16838"/>
      <w:pgMar w:top="300" w:right="614" w:bottom="129" w:left="8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65ED7" w14:textId="77777777" w:rsidR="00506731" w:rsidRDefault="00506731">
      <w:r>
        <w:separator/>
      </w:r>
    </w:p>
  </w:endnote>
  <w:endnote w:type="continuationSeparator" w:id="0">
    <w:p w14:paraId="4F97287F" w14:textId="77777777" w:rsidR="00506731" w:rsidRDefault="0050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72FE3" w14:textId="77777777" w:rsidR="00506731" w:rsidRDefault="00506731"/>
  </w:footnote>
  <w:footnote w:type="continuationSeparator" w:id="0">
    <w:p w14:paraId="24A5E583" w14:textId="77777777" w:rsidR="00506731" w:rsidRDefault="0050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10"/>
    <w:rsid w:val="00026830"/>
    <w:rsid w:val="001E1B10"/>
    <w:rsid w:val="00506731"/>
    <w:rsid w:val="007951E5"/>
    <w:rsid w:val="00A34A6A"/>
    <w:rsid w:val="00B9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18490A8"/>
  <w15:docId w15:val="{AF8EDFA2-0B1F-457A-861C-D8AE5625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impact analysis statement for the Domestic and Family Violence Protection and Other Legislation Amendment Bill 2025</vt:lpstr>
    </vt:vector>
  </TitlesOfParts>
  <Company>Queensland Government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impact analysis statement for the Domestic and Family Violence Protection and Other Legislation Amendment Bill 2025</dc:title>
  <dc:subject>Summary impact analysis statement for the Domestic and Family Violence Protection and Other Legislation Amendment Bill 2025</dc:subject>
  <dc:creator>Queensland Government</dc:creator>
  <cp:keywords>Summary impact analysis statement for the Domestic and Family Violence Protection and Other Legislation Amendment Bill 2025</cp:keywords>
  <cp:lastModifiedBy>Amanda Schneider</cp:lastModifiedBy>
  <cp:revision>3</cp:revision>
  <dcterms:created xsi:type="dcterms:W3CDTF">2025-07-28T05:37:00Z</dcterms:created>
  <dcterms:modified xsi:type="dcterms:W3CDTF">2025-07-28T07:29:00Z</dcterms:modified>
</cp:coreProperties>
</file>