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35DE" w14:textId="2313439A" w:rsidR="00670244" w:rsidRPr="00820292" w:rsidRDefault="00BA5371" w:rsidP="00820292">
      <w:pPr>
        <w:pStyle w:val="Heading1"/>
        <w:spacing w:after="480"/>
      </w:pPr>
      <w:r w:rsidRPr="00820292">
        <w:t xml:space="preserve">Queensland Age-friendly Community </w:t>
      </w:r>
      <w:r w:rsidR="00632810" w:rsidRPr="00820292">
        <w:t xml:space="preserve">Development </w:t>
      </w:r>
      <w:r w:rsidRPr="00820292">
        <w:t>Grant Program 2025-2026</w:t>
      </w:r>
    </w:p>
    <w:p w14:paraId="1BFD7821" w14:textId="77777777" w:rsidR="00670244" w:rsidRPr="00820292" w:rsidRDefault="00BA5371" w:rsidP="00820292">
      <w:pPr>
        <w:pStyle w:val="Heading2"/>
        <w:spacing w:after="360"/>
      </w:pPr>
      <w:r w:rsidRPr="00820292">
        <w:t>Frequently Asked Questions</w:t>
      </w:r>
      <w:r w:rsidRPr="00820292">
        <w:t xml:space="preserve"> </w:t>
      </w:r>
    </w:p>
    <w:p w14:paraId="2927BA60" w14:textId="77AB03B9" w:rsidR="00670244" w:rsidRDefault="00BA5371" w:rsidP="00820292">
      <w:pPr>
        <w:spacing w:before="120" w:after="360"/>
        <w:rPr>
          <w:lang w:eastAsia="en-US"/>
        </w:rPr>
      </w:pPr>
      <w:r>
        <w:rPr>
          <w:lang w:eastAsia="en-US"/>
        </w:rPr>
        <w:t>These Frequently Asked Questions should be read in conjunction with the Grant Guidelines.</w:t>
      </w:r>
      <w:r w:rsidRPr="004F191C">
        <w:t xml:space="preserve"> </w:t>
      </w:r>
    </w:p>
    <w:p w14:paraId="379B594A" w14:textId="72BB3E57" w:rsidR="00670244" w:rsidRPr="009D37B0" w:rsidRDefault="00BA5371" w:rsidP="00670244">
      <w:pPr>
        <w:pStyle w:val="ListBullet"/>
        <w:numPr>
          <w:ilvl w:val="0"/>
          <w:numId w:val="11"/>
        </w:numPr>
        <w:spacing w:before="120" w:after="120"/>
        <w:rPr>
          <w:b/>
          <w:bCs/>
        </w:rPr>
      </w:pPr>
      <w:r w:rsidRPr="00240863">
        <w:rPr>
          <w:b/>
          <w:bCs/>
        </w:rPr>
        <w:t xml:space="preserve">What is the Queensland Age-friendly Community </w:t>
      </w:r>
      <w:r w:rsidR="00632810">
        <w:rPr>
          <w:b/>
          <w:bCs/>
        </w:rPr>
        <w:t xml:space="preserve">Development </w:t>
      </w:r>
      <w:r w:rsidRPr="00240863">
        <w:rPr>
          <w:b/>
          <w:bCs/>
        </w:rPr>
        <w:t>Grant Program?</w:t>
      </w:r>
    </w:p>
    <w:p w14:paraId="532D47A9" w14:textId="6128BCAE" w:rsidR="00366E6E" w:rsidRPr="00C31B4C" w:rsidRDefault="00BA5371" w:rsidP="00C31B4C">
      <w:pPr>
        <w:pStyle w:val="ListParagraph"/>
        <w:keepLines/>
        <w:spacing w:after="160"/>
        <w:ind w:left="357"/>
        <w:contextualSpacing w:val="0"/>
        <w:jc w:val="both"/>
      </w:pPr>
      <w:r w:rsidRPr="00C31B4C">
        <w:t>In August 2024, Queensland Government launched An Age-friendly Queensland: The Queensland Seniors Strategy 2024-2029, a blueprint for an age-friendly state</w:t>
      </w:r>
      <w:r w:rsidR="00FC4C50">
        <w:t>.</w:t>
      </w:r>
    </w:p>
    <w:p w14:paraId="429107C5" w14:textId="3277C5CF" w:rsidR="00366E6E" w:rsidRPr="00C31B4C" w:rsidRDefault="00BA5371" w:rsidP="00C31B4C">
      <w:pPr>
        <w:pStyle w:val="ListParagraph"/>
        <w:keepLines/>
        <w:spacing w:after="160"/>
        <w:ind w:left="357"/>
        <w:contextualSpacing w:val="0"/>
        <w:jc w:val="both"/>
      </w:pPr>
      <w:r w:rsidRPr="00C31B4C">
        <w:t>The Seniors Strategy reflects the views of more than 16,000 older Queenslanders – from the south-east corner through to western Queensland and the Torres Strait – who told us what they want, and what they value.</w:t>
      </w:r>
      <w:r w:rsidR="00FC4C50" w:rsidRPr="00FC4C50">
        <w:t xml:space="preserve"> </w:t>
      </w:r>
    </w:p>
    <w:p w14:paraId="3A736280" w14:textId="75596630" w:rsidR="00366E6E" w:rsidRDefault="00BA5371" w:rsidP="00366E6E">
      <w:pPr>
        <w:pStyle w:val="ListParagraph"/>
        <w:keepLines/>
        <w:spacing w:after="160"/>
        <w:ind w:left="357"/>
        <w:contextualSpacing w:val="0"/>
        <w:jc w:val="both"/>
      </w:pPr>
      <w:r w:rsidRPr="00C31B4C">
        <w:t>Underpinning the Seniors Strategy is the first Seniors Action Plan 2024-2026 with 51 actions across whole-of-government. Action 15 is our starting point with th</w:t>
      </w:r>
      <w:r w:rsidR="00FC4C50">
        <w:t>e</w:t>
      </w:r>
      <w:r w:rsidRPr="00C31B4C">
        <w:t xml:space="preserve"> age-friendly community development grant program to support the development and implementation of age-friendly initiatives, plans and programs in communities</w:t>
      </w:r>
      <w:r w:rsidR="00FC4C50">
        <w:t>.</w:t>
      </w:r>
    </w:p>
    <w:p w14:paraId="1BA37BB2" w14:textId="73588C5C" w:rsidR="00E8483D" w:rsidRDefault="00BA5371" w:rsidP="00C31B4C">
      <w:pPr>
        <w:pStyle w:val="ListParagraph"/>
        <w:keepLines/>
        <w:spacing w:after="160"/>
        <w:ind w:left="357"/>
        <w:contextualSpacing w:val="0"/>
        <w:jc w:val="both"/>
      </w:pPr>
      <w:r w:rsidRPr="00C31B4C">
        <w:t>The Queensland Government is committed to building age-friendly communities where older people are connected to their community and the people and the services that matter to them; they are supported by world class frontline services when support is needed, and they are celebrated for the contribution they make as carers, workers, volunteers and community leaders.</w:t>
      </w:r>
    </w:p>
    <w:p w14:paraId="787C0A23" w14:textId="77777777" w:rsidR="00670244" w:rsidRDefault="00BA5371" w:rsidP="00C31B4C">
      <w:pPr>
        <w:pStyle w:val="ListParagraph"/>
        <w:keepLines/>
        <w:spacing w:after="160"/>
        <w:ind w:left="357"/>
        <w:contextualSpacing w:val="0"/>
        <w:jc w:val="both"/>
      </w:pPr>
      <w:r>
        <w:t xml:space="preserve">This initiative will help </w:t>
      </w:r>
      <w:r w:rsidRPr="00C31B4C">
        <w:t xml:space="preserve">older Queenslanders </w:t>
      </w:r>
      <w:r w:rsidRPr="006F1B16">
        <w:t>to age positively, focusing on connections</w:t>
      </w:r>
      <w:r>
        <w:t xml:space="preserve"> to their community</w:t>
      </w:r>
      <w:r w:rsidRPr="006F1B16">
        <w:t xml:space="preserve">, </w:t>
      </w:r>
      <w:r>
        <w:t>their needs at home</w:t>
      </w:r>
      <w:r w:rsidRPr="006F1B16">
        <w:t xml:space="preserve"> and recognition of </w:t>
      </w:r>
      <w:r>
        <w:t xml:space="preserve">the </w:t>
      </w:r>
      <w:r w:rsidRPr="006F1B16">
        <w:t>value</w:t>
      </w:r>
      <w:r>
        <w:t xml:space="preserve"> older Queenslanders provide to everyone.</w:t>
      </w:r>
    </w:p>
    <w:p w14:paraId="543FA9AA" w14:textId="22507485" w:rsidR="00E8483D" w:rsidRDefault="00BA5371" w:rsidP="00670244">
      <w:pPr>
        <w:pStyle w:val="ListParagraph"/>
        <w:keepLines/>
        <w:spacing w:after="160"/>
        <w:ind w:left="357"/>
        <w:contextualSpacing w:val="0"/>
        <w:jc w:val="both"/>
      </w:pPr>
      <w:r w:rsidRPr="00670244">
        <w:t xml:space="preserve">This local </w:t>
      </w:r>
      <w:r w:rsidR="00632810">
        <w:t xml:space="preserve">community development </w:t>
      </w:r>
      <w:r w:rsidRPr="00670244">
        <w:t xml:space="preserve">grant program will feed into and support the Queensland Government’s age-friendly plans driven by the Seniors Strategy and supporting Action Plan and strengthen the </w:t>
      </w:r>
      <w:r w:rsidRPr="00670244">
        <w:t>Queensland Government’s existing investment in elder abuse prevention and awareness and social isolation reduction by providing additional opportunities for individuals to be involved at a local, grass roots level, supported by their local councils, community organisations and associated networks</w:t>
      </w:r>
      <w:r>
        <w:t>.</w:t>
      </w:r>
    </w:p>
    <w:p w14:paraId="13384368" w14:textId="77777777" w:rsidR="00E8483D" w:rsidRDefault="00BA5371">
      <w:pPr>
        <w:spacing w:after="0"/>
      </w:pPr>
      <w:r>
        <w:br w:type="page"/>
      </w:r>
    </w:p>
    <w:p w14:paraId="090E3A6E" w14:textId="4928E385" w:rsidR="00670244" w:rsidRDefault="00BA5371" w:rsidP="00670244">
      <w:pPr>
        <w:pStyle w:val="ListBullet"/>
        <w:numPr>
          <w:ilvl w:val="0"/>
          <w:numId w:val="11"/>
        </w:numPr>
        <w:spacing w:before="120" w:after="120"/>
        <w:rPr>
          <w:b/>
          <w:bCs/>
        </w:rPr>
      </w:pPr>
      <w:r w:rsidRPr="00240863">
        <w:rPr>
          <w:b/>
          <w:bCs/>
        </w:rPr>
        <w:lastRenderedPageBreak/>
        <w:t>What is the purpose of this grant?</w:t>
      </w:r>
    </w:p>
    <w:p w14:paraId="2E81262C" w14:textId="230BC8B8" w:rsidR="00670244" w:rsidRPr="00176295" w:rsidRDefault="00BA5371" w:rsidP="00176295">
      <w:pPr>
        <w:pStyle w:val="ListParagraph"/>
        <w:keepLines/>
        <w:spacing w:after="160"/>
        <w:ind w:left="357"/>
        <w:contextualSpacing w:val="0"/>
        <w:jc w:val="both"/>
      </w:pPr>
      <w:r w:rsidRPr="00176295">
        <w:t>The purpose of the Age-friendly Community</w:t>
      </w:r>
      <w:r w:rsidR="009D7443">
        <w:t xml:space="preserve"> Development</w:t>
      </w:r>
      <w:r w:rsidRPr="00176295">
        <w:t xml:space="preserve"> Grant Program is to build partnerships with local government councils to collaboratively work towards an age-friendly Queensland where seniors can lead healthy and productive lives, focusing on the measures at the community level to support older people to be connected, cared for and celebrated so they are able to maintain their independence; participate economically; have access to healthcare; can manage the cost of living; and stay in their own home or access appropriate housing in their chos</w:t>
      </w:r>
      <w:r w:rsidRPr="00176295">
        <w:t>en location.</w:t>
      </w:r>
    </w:p>
    <w:p w14:paraId="54A5EA18" w14:textId="1C37B734" w:rsidR="00670244" w:rsidRPr="00176295" w:rsidRDefault="00BA5371" w:rsidP="00820292">
      <w:pPr>
        <w:pStyle w:val="ListParagraph"/>
        <w:keepLines/>
        <w:spacing w:after="360"/>
        <w:ind w:left="357"/>
        <w:contextualSpacing w:val="0"/>
        <w:jc w:val="both"/>
      </w:pPr>
      <w:r w:rsidRPr="00176295">
        <w:t xml:space="preserve">These local age-friendly pilot programs or projects will feed into and support the Queensland Government’s </w:t>
      </w:r>
      <w:r w:rsidRPr="00176295">
        <w:t>Age-friendly Seniors Strategy and supporting Seniors Action Plan and would dramatically improve the quality of life for seniors across Queensland in the eight age-friendly domains such as transport, health and social participation.</w:t>
      </w:r>
    </w:p>
    <w:p w14:paraId="5848B436" w14:textId="77777777" w:rsidR="00670244" w:rsidRPr="00240863" w:rsidRDefault="00BA5371" w:rsidP="00670244">
      <w:pPr>
        <w:pStyle w:val="ListBullet"/>
        <w:numPr>
          <w:ilvl w:val="0"/>
          <w:numId w:val="11"/>
        </w:numPr>
        <w:spacing w:before="120" w:after="120"/>
        <w:rPr>
          <w:b/>
          <w:bCs/>
        </w:rPr>
      </w:pPr>
      <w:r w:rsidRPr="00240863">
        <w:rPr>
          <w:b/>
          <w:bCs/>
        </w:rPr>
        <w:t>What funding is available under this grant?</w:t>
      </w:r>
    </w:p>
    <w:p w14:paraId="78365800" w14:textId="4C095236" w:rsidR="00670244" w:rsidRDefault="00BA5371" w:rsidP="00176295">
      <w:pPr>
        <w:pStyle w:val="ListParagraph"/>
        <w:keepLines/>
        <w:spacing w:after="160"/>
        <w:ind w:left="357"/>
        <w:contextualSpacing w:val="0"/>
        <w:jc w:val="both"/>
      </w:pPr>
      <w:r>
        <w:t>The total amount of funding available through this targeted grant process is $</w:t>
      </w:r>
      <w:r w:rsidR="0045724B">
        <w:t>3</w:t>
      </w:r>
      <w:r w:rsidR="00C31B4C">
        <w:t>0</w:t>
      </w:r>
      <w:r w:rsidR="0045724B">
        <w:t>0</w:t>
      </w:r>
      <w:r>
        <w:t xml:space="preserve">,000 for the </w:t>
      </w:r>
      <w:r w:rsidRPr="00673E4B">
        <w:t>period 1 July 2025 to 30 June 2026.</w:t>
      </w:r>
      <w:r>
        <w:t xml:space="preserve"> </w:t>
      </w:r>
      <w:r w:rsidR="0045724B">
        <w:t>Note: GST is not payable to local councils.</w:t>
      </w:r>
    </w:p>
    <w:p w14:paraId="57DAF6C7" w14:textId="1CA3CF04" w:rsidR="00670244" w:rsidRDefault="00BA5371" w:rsidP="00176295">
      <w:pPr>
        <w:pStyle w:val="ListParagraph"/>
        <w:keepLines/>
        <w:spacing w:after="160"/>
        <w:ind w:left="357"/>
        <w:contextualSpacing w:val="0"/>
        <w:jc w:val="both"/>
      </w:pPr>
      <w:r>
        <w:t xml:space="preserve">One-off funding </w:t>
      </w:r>
      <w:r w:rsidR="00C31B4C">
        <w:t xml:space="preserve">from $25,000 </w:t>
      </w:r>
      <w:r>
        <w:t>up to $</w:t>
      </w:r>
      <w:r w:rsidR="00E8483D">
        <w:t>50</w:t>
      </w:r>
      <w:r>
        <w:t>,000 is available to each grant recipient for one year.</w:t>
      </w:r>
    </w:p>
    <w:p w14:paraId="7A303BF2" w14:textId="5C8C21CF" w:rsidR="00827985" w:rsidRPr="00827985" w:rsidRDefault="00BA5371" w:rsidP="00827985">
      <w:pPr>
        <w:pStyle w:val="ListParagraph"/>
        <w:keepLines/>
        <w:spacing w:after="160"/>
        <w:ind w:left="357"/>
        <w:contextualSpacing w:val="0"/>
        <w:jc w:val="both"/>
      </w:pPr>
      <w:r w:rsidRPr="00856917">
        <w:rPr>
          <w:rFonts w:cs="Arial"/>
        </w:rPr>
        <w:t>The Department of Families, Seniors, Disability Services and Child Safety complies with Australian Taxation Office (OTA) advice regarding application of GST to grant payments.</w:t>
      </w:r>
    </w:p>
    <w:p w14:paraId="063A1706" w14:textId="77777777" w:rsidR="00670244" w:rsidRDefault="00BA5371" w:rsidP="00820292">
      <w:pPr>
        <w:pStyle w:val="ListParagraph"/>
        <w:keepLines/>
        <w:spacing w:after="360"/>
        <w:ind w:left="357"/>
        <w:contextualSpacing w:val="0"/>
        <w:jc w:val="both"/>
      </w:pPr>
      <w:r>
        <w:t>Service Agreements may commence 30 June 2025.</w:t>
      </w:r>
    </w:p>
    <w:p w14:paraId="646EF5F2" w14:textId="77777777" w:rsidR="00670244" w:rsidRPr="0057270F" w:rsidRDefault="00BA5371" w:rsidP="00670244">
      <w:pPr>
        <w:pStyle w:val="ListBullet"/>
        <w:numPr>
          <w:ilvl w:val="0"/>
          <w:numId w:val="11"/>
        </w:numPr>
        <w:spacing w:before="120" w:after="120"/>
        <w:rPr>
          <w:b/>
          <w:bCs/>
        </w:rPr>
      </w:pPr>
      <w:r w:rsidRPr="0057270F">
        <w:rPr>
          <w:b/>
          <w:bCs/>
        </w:rPr>
        <w:t xml:space="preserve">What </w:t>
      </w:r>
      <w:r>
        <w:rPr>
          <w:b/>
          <w:bCs/>
        </w:rPr>
        <w:t xml:space="preserve">are the </w:t>
      </w:r>
      <w:r w:rsidRPr="0057270F">
        <w:rPr>
          <w:b/>
          <w:bCs/>
        </w:rPr>
        <w:t>priority categories for funding under this grant?</w:t>
      </w:r>
    </w:p>
    <w:p w14:paraId="597C5629" w14:textId="3FF6D054" w:rsidR="00670244" w:rsidRDefault="00BA5371" w:rsidP="00820292">
      <w:pPr>
        <w:pStyle w:val="ListBullet"/>
        <w:numPr>
          <w:ilvl w:val="0"/>
          <w:numId w:val="0"/>
        </w:numPr>
        <w:spacing w:before="0" w:after="360"/>
        <w:ind w:left="357"/>
        <w:jc w:val="both"/>
      </w:pPr>
      <w:bookmarkStart w:id="0" w:name="_Hlk184131878"/>
      <w:r>
        <w:t>Applications from Queensland local government councils located in regional, rural and remote areas and those council</w:t>
      </w:r>
      <w:r w:rsidR="00176295">
        <w:t>s</w:t>
      </w:r>
      <w:r w:rsidR="009D7443">
        <w:t>, in partnership with local community organisations,</w:t>
      </w:r>
      <w:r>
        <w:t xml:space="preserve"> who are committed to becoming age-friendly will be highly regarded.</w:t>
      </w:r>
    </w:p>
    <w:bookmarkEnd w:id="0"/>
    <w:p w14:paraId="396B4E24" w14:textId="77777777" w:rsidR="00176295" w:rsidRDefault="00BA5371" w:rsidP="00176295">
      <w:pPr>
        <w:pStyle w:val="ListBullet"/>
        <w:numPr>
          <w:ilvl w:val="0"/>
          <w:numId w:val="11"/>
        </w:numPr>
        <w:spacing w:before="120" w:after="120"/>
        <w:rPr>
          <w:b/>
          <w:bCs/>
        </w:rPr>
      </w:pPr>
      <w:r>
        <w:rPr>
          <w:b/>
          <w:bCs/>
        </w:rPr>
        <w:t>How do I know what will be funded?</w:t>
      </w:r>
    </w:p>
    <w:p w14:paraId="64A1996A" w14:textId="57EBE84E" w:rsidR="00176295" w:rsidRPr="00EF48AB" w:rsidRDefault="00BA5371" w:rsidP="00820292">
      <w:pPr>
        <w:pStyle w:val="ListBullet"/>
        <w:numPr>
          <w:ilvl w:val="0"/>
          <w:numId w:val="0"/>
        </w:numPr>
        <w:spacing w:before="0" w:after="360"/>
        <w:ind w:left="357"/>
        <w:jc w:val="both"/>
      </w:pPr>
      <w:r>
        <w:t>The Grant Guidelines point 3 details this.</w:t>
      </w:r>
    </w:p>
    <w:p w14:paraId="30A1B0FF" w14:textId="77777777" w:rsidR="00176295" w:rsidRPr="00EC0EF1" w:rsidRDefault="00BA5371" w:rsidP="00176295">
      <w:pPr>
        <w:pStyle w:val="ListBullet"/>
        <w:numPr>
          <w:ilvl w:val="0"/>
          <w:numId w:val="11"/>
        </w:numPr>
        <w:spacing w:before="120" w:after="120"/>
        <w:rPr>
          <w:b/>
          <w:bCs/>
        </w:rPr>
      </w:pPr>
      <w:r w:rsidRPr="00EC0EF1">
        <w:rPr>
          <w:b/>
          <w:bCs/>
        </w:rPr>
        <w:t>How do I know if my organisation is eligible to apply for this funding?</w:t>
      </w:r>
    </w:p>
    <w:p w14:paraId="460FF35D" w14:textId="77777777" w:rsidR="00176295" w:rsidRDefault="00BA5371" w:rsidP="006336C8">
      <w:pPr>
        <w:pStyle w:val="ListBullet"/>
        <w:numPr>
          <w:ilvl w:val="0"/>
          <w:numId w:val="0"/>
        </w:numPr>
        <w:spacing w:before="0" w:after="160"/>
        <w:ind w:left="357"/>
        <w:jc w:val="both"/>
      </w:pPr>
      <w:r>
        <w:t xml:space="preserve">The Grant Guidelines detail the requirements for </w:t>
      </w:r>
      <w:r>
        <w:t>eligibility, use of funding and other application and assessment information that you need to be aware of prior to submitting your application.</w:t>
      </w:r>
    </w:p>
    <w:p w14:paraId="6CF8109F" w14:textId="77777777" w:rsidR="00176295" w:rsidRDefault="00BA5371" w:rsidP="00820292">
      <w:pPr>
        <w:pStyle w:val="ListBullet"/>
        <w:numPr>
          <w:ilvl w:val="0"/>
          <w:numId w:val="0"/>
        </w:numPr>
        <w:spacing w:before="0" w:after="360"/>
        <w:ind w:left="357"/>
        <w:jc w:val="both"/>
      </w:pPr>
      <w:r>
        <w:t>Please ensure you read the Grant Guidelines carefully.</w:t>
      </w:r>
    </w:p>
    <w:p w14:paraId="0859EABA" w14:textId="77777777" w:rsidR="00893972" w:rsidRDefault="00BA5371" w:rsidP="00893972">
      <w:pPr>
        <w:pStyle w:val="ListBullet"/>
        <w:numPr>
          <w:ilvl w:val="0"/>
          <w:numId w:val="11"/>
        </w:numPr>
        <w:spacing w:before="120" w:after="120"/>
        <w:rPr>
          <w:b/>
          <w:bCs/>
        </w:rPr>
      </w:pPr>
      <w:r>
        <w:rPr>
          <w:b/>
          <w:bCs/>
        </w:rPr>
        <w:t>How will my organisation be assessed?</w:t>
      </w:r>
    </w:p>
    <w:p w14:paraId="7C8E8469" w14:textId="77777777" w:rsidR="00893972" w:rsidRDefault="00BA5371" w:rsidP="006336C8">
      <w:pPr>
        <w:pStyle w:val="ListBullet"/>
        <w:numPr>
          <w:ilvl w:val="0"/>
          <w:numId w:val="0"/>
        </w:numPr>
        <w:spacing w:before="0" w:after="160"/>
        <w:ind w:left="357"/>
        <w:jc w:val="both"/>
      </w:pPr>
      <w:r>
        <w:t xml:space="preserve">The assessment panel will refer to your responses to determine your capacity to deliver projects and initiatives that support Queensland Government’s commitment to building age-friendly communities. </w:t>
      </w:r>
    </w:p>
    <w:p w14:paraId="027A9BBF" w14:textId="426D4023" w:rsidR="00820292" w:rsidRDefault="00BA5371" w:rsidP="00820292">
      <w:pPr>
        <w:pStyle w:val="ListBullet"/>
        <w:numPr>
          <w:ilvl w:val="0"/>
          <w:numId w:val="0"/>
        </w:numPr>
        <w:spacing w:before="0" w:after="120"/>
        <w:ind w:left="357"/>
        <w:jc w:val="both"/>
      </w:pPr>
      <w:r>
        <w:t>All applications submitted that meet the eligibility criteria as detailed in the Grand Guidelines will be assessed against each of the criteria.</w:t>
      </w:r>
    </w:p>
    <w:p w14:paraId="744247D8" w14:textId="77777777" w:rsidR="00820292" w:rsidRDefault="00820292">
      <w:pPr>
        <w:spacing w:after="0"/>
      </w:pPr>
      <w:r>
        <w:br w:type="page"/>
      </w:r>
    </w:p>
    <w:p w14:paraId="4BB03850" w14:textId="77777777" w:rsidR="00893972" w:rsidRDefault="00893972" w:rsidP="00820292">
      <w:pPr>
        <w:pStyle w:val="ListBullet"/>
        <w:numPr>
          <w:ilvl w:val="0"/>
          <w:numId w:val="0"/>
        </w:numPr>
        <w:spacing w:before="0" w:after="120"/>
        <w:ind w:left="357"/>
        <w:jc w:val="both"/>
      </w:pPr>
    </w:p>
    <w:p w14:paraId="361DF7D3" w14:textId="77777777" w:rsidR="00893972" w:rsidRDefault="00BA5371" w:rsidP="00893972">
      <w:pPr>
        <w:pStyle w:val="ListBullet"/>
        <w:numPr>
          <w:ilvl w:val="0"/>
          <w:numId w:val="11"/>
        </w:numPr>
        <w:spacing w:before="120" w:after="120"/>
        <w:rPr>
          <w:b/>
          <w:bCs/>
        </w:rPr>
      </w:pPr>
      <w:r w:rsidRPr="00EC0EF1">
        <w:rPr>
          <w:b/>
          <w:bCs/>
        </w:rPr>
        <w:t>How do I apply?</w:t>
      </w:r>
    </w:p>
    <w:p w14:paraId="36B92495" w14:textId="09E41F79" w:rsidR="00893972" w:rsidRDefault="00BA5371" w:rsidP="00820292">
      <w:pPr>
        <w:pStyle w:val="ListBullet"/>
        <w:numPr>
          <w:ilvl w:val="0"/>
          <w:numId w:val="0"/>
        </w:numPr>
        <w:spacing w:before="0" w:after="360"/>
        <w:ind w:left="357"/>
        <w:jc w:val="both"/>
      </w:pPr>
      <w:r>
        <w:t xml:space="preserve">Details about how to apply for a grant, as well as the Grant Guidelines can be found at: </w:t>
      </w:r>
      <w:hyperlink r:id="rId8" w:history="1">
        <w:r w:rsidR="006009F9" w:rsidRPr="006009F9">
          <w:rPr>
            <w:rStyle w:val="Hyperlink"/>
          </w:rPr>
          <w:t>www.qld.gov.au/agefriendlygrants</w:t>
        </w:r>
      </w:hyperlink>
    </w:p>
    <w:p w14:paraId="3087B090" w14:textId="77777777" w:rsidR="00893972" w:rsidRPr="00EC0EF1" w:rsidRDefault="00BA5371" w:rsidP="00893972">
      <w:pPr>
        <w:pStyle w:val="ListBullet"/>
        <w:numPr>
          <w:ilvl w:val="0"/>
          <w:numId w:val="11"/>
        </w:numPr>
        <w:spacing w:before="120" w:after="120"/>
        <w:rPr>
          <w:b/>
          <w:bCs/>
        </w:rPr>
      </w:pPr>
      <w:r w:rsidRPr="00EC0EF1">
        <w:rPr>
          <w:b/>
          <w:bCs/>
        </w:rPr>
        <w:t>When do applications open and close?</w:t>
      </w:r>
    </w:p>
    <w:p w14:paraId="608D54DC" w14:textId="0F980C39" w:rsidR="00893972" w:rsidRDefault="00BA5371" w:rsidP="00820292">
      <w:pPr>
        <w:pStyle w:val="ListBullet"/>
        <w:numPr>
          <w:ilvl w:val="0"/>
          <w:numId w:val="0"/>
        </w:numPr>
        <w:spacing w:before="0" w:after="360"/>
        <w:ind w:left="357"/>
        <w:jc w:val="both"/>
      </w:pPr>
      <w:r>
        <w:t xml:space="preserve">Applications open on </w:t>
      </w:r>
      <w:r w:rsidR="00C31B4C">
        <w:t xml:space="preserve">7 March </w:t>
      </w:r>
      <w:r>
        <w:t xml:space="preserve">2025 at 09:00 AEST and close on </w:t>
      </w:r>
      <w:r w:rsidR="002279C0">
        <w:t xml:space="preserve">11 </w:t>
      </w:r>
      <w:r w:rsidR="00C31B4C">
        <w:t>April</w:t>
      </w:r>
      <w:r>
        <w:t xml:space="preserve"> 2025 at 17:00 AEST.</w:t>
      </w:r>
    </w:p>
    <w:p w14:paraId="22E360BA" w14:textId="5B8F5535" w:rsidR="00DA71C7" w:rsidRPr="00F72D43" w:rsidRDefault="00BA5371" w:rsidP="00DA71C7">
      <w:pPr>
        <w:pStyle w:val="ListBullet"/>
        <w:numPr>
          <w:ilvl w:val="0"/>
          <w:numId w:val="11"/>
        </w:numPr>
        <w:spacing w:before="120" w:after="120"/>
        <w:rPr>
          <w:b/>
          <w:bCs/>
        </w:rPr>
      </w:pPr>
      <w:r w:rsidRPr="00F72D43">
        <w:rPr>
          <w:b/>
          <w:bCs/>
        </w:rPr>
        <w:t>Will late applications be accepted?</w:t>
      </w:r>
    </w:p>
    <w:p w14:paraId="08027945" w14:textId="77777777" w:rsidR="00DA71C7" w:rsidRPr="00F72D43" w:rsidRDefault="00BA5371" w:rsidP="00820292">
      <w:pPr>
        <w:pStyle w:val="ListBullet"/>
        <w:numPr>
          <w:ilvl w:val="0"/>
          <w:numId w:val="0"/>
        </w:numPr>
        <w:spacing w:before="0" w:after="360"/>
        <w:ind w:left="357"/>
        <w:jc w:val="both"/>
      </w:pPr>
      <w:r>
        <w:t>No, late applications will not be accepted. No extensions will be granted.</w:t>
      </w:r>
    </w:p>
    <w:p w14:paraId="41791239" w14:textId="77777777" w:rsidR="00DA71C7" w:rsidRPr="00EC0EF1" w:rsidRDefault="00BA5371" w:rsidP="00DA71C7">
      <w:pPr>
        <w:pStyle w:val="ListBullet"/>
        <w:numPr>
          <w:ilvl w:val="0"/>
          <w:numId w:val="11"/>
        </w:numPr>
        <w:spacing w:before="120" w:after="120"/>
        <w:rPr>
          <w:b/>
          <w:bCs/>
        </w:rPr>
      </w:pPr>
      <w:r w:rsidRPr="00EC0EF1">
        <w:rPr>
          <w:b/>
          <w:bCs/>
        </w:rPr>
        <w:t xml:space="preserve">Who should I contact if I’m having trouble using or </w:t>
      </w:r>
      <w:proofErr w:type="gramStart"/>
      <w:r w:rsidRPr="00EC0EF1">
        <w:rPr>
          <w:b/>
          <w:bCs/>
        </w:rPr>
        <w:t xml:space="preserve">submitting an </w:t>
      </w:r>
      <w:r w:rsidRPr="00EC0EF1">
        <w:rPr>
          <w:b/>
          <w:bCs/>
        </w:rPr>
        <w:t>application</w:t>
      </w:r>
      <w:proofErr w:type="gramEnd"/>
      <w:r w:rsidRPr="00EC0EF1">
        <w:rPr>
          <w:b/>
          <w:bCs/>
        </w:rPr>
        <w:t xml:space="preserve"> form?</w:t>
      </w:r>
    </w:p>
    <w:p w14:paraId="5CBCDBAA" w14:textId="19ED511D" w:rsidR="00DA71C7" w:rsidRPr="00515BA7" w:rsidRDefault="00BA5371" w:rsidP="00820292">
      <w:pPr>
        <w:spacing w:after="360"/>
        <w:ind w:left="425"/>
        <w:jc w:val="both"/>
        <w:rPr>
          <w:color w:val="853D96" w:themeColor="hyperlink"/>
          <w:u w:val="single"/>
        </w:rPr>
      </w:pPr>
      <w:r>
        <w:t xml:space="preserve">If you have any technical difficulties with logging in, progressing or submitting your application, please contact </w:t>
      </w:r>
      <w:r w:rsidRPr="00DA71C7">
        <w:t>SmartyGrants</w:t>
      </w:r>
      <w:r>
        <w:t xml:space="preserve"> on 03 9320 6888 or by email </w:t>
      </w:r>
      <w:hyperlink r:id="rId9" w:history="1">
        <w:r w:rsidRPr="002A5CDE">
          <w:rPr>
            <w:rStyle w:val="Hyperlink"/>
          </w:rPr>
          <w:t>service@smartygrants.com.au</w:t>
        </w:r>
      </w:hyperlink>
      <w:r>
        <w:rPr>
          <w:rStyle w:val="Hyperlink"/>
        </w:rPr>
        <w:t>.</w:t>
      </w:r>
    </w:p>
    <w:p w14:paraId="4B6CF859" w14:textId="77777777" w:rsidR="00DA71C7" w:rsidRPr="00EC0EF1" w:rsidRDefault="00BA5371" w:rsidP="00DA71C7">
      <w:pPr>
        <w:pStyle w:val="ListBullet"/>
        <w:numPr>
          <w:ilvl w:val="0"/>
          <w:numId w:val="11"/>
        </w:numPr>
        <w:spacing w:before="120" w:after="120"/>
        <w:rPr>
          <w:b/>
          <w:bCs/>
        </w:rPr>
      </w:pPr>
      <w:r w:rsidRPr="00EC0EF1">
        <w:rPr>
          <w:b/>
          <w:bCs/>
        </w:rPr>
        <w:t>Who should I contact if I have more questions?</w:t>
      </w:r>
    </w:p>
    <w:p w14:paraId="2E80513D" w14:textId="25B488B5" w:rsidR="00DA71C7" w:rsidRDefault="00BA5371" w:rsidP="00820292">
      <w:pPr>
        <w:pStyle w:val="ListBullet"/>
        <w:numPr>
          <w:ilvl w:val="0"/>
          <w:numId w:val="0"/>
        </w:numPr>
        <w:spacing w:before="0" w:after="360"/>
        <w:ind w:left="357"/>
        <w:jc w:val="both"/>
      </w:pPr>
      <w:r>
        <w:t xml:space="preserve">Please direct any further questions to </w:t>
      </w:r>
      <w:hyperlink r:id="rId10" w:history="1">
        <w:r w:rsidRPr="00C9431E">
          <w:rPr>
            <w:rStyle w:val="Hyperlink"/>
          </w:rPr>
          <w:t>seniors@dcssds.qld.gov.au</w:t>
        </w:r>
      </w:hyperlink>
      <w:r>
        <w:t xml:space="preserve"> and a departmental officer will respond to you within two business days.</w:t>
      </w:r>
    </w:p>
    <w:p w14:paraId="61F1C030" w14:textId="77777777" w:rsidR="00DA71C7" w:rsidRDefault="00BA5371" w:rsidP="00DA71C7">
      <w:pPr>
        <w:pStyle w:val="ListBullet"/>
        <w:numPr>
          <w:ilvl w:val="0"/>
          <w:numId w:val="11"/>
        </w:numPr>
        <w:spacing w:before="120" w:after="120"/>
        <w:rPr>
          <w:b/>
          <w:bCs/>
        </w:rPr>
      </w:pPr>
      <w:r>
        <w:rPr>
          <w:b/>
          <w:bCs/>
        </w:rPr>
        <w:t>Do I need to be registered for the Human Services Quality Framework (HSQF) to apply for a grant?</w:t>
      </w:r>
    </w:p>
    <w:p w14:paraId="119EBA45" w14:textId="06A40B6B" w:rsidR="00DA71C7" w:rsidRDefault="00BA5371" w:rsidP="00820292">
      <w:pPr>
        <w:pStyle w:val="ListBullet"/>
        <w:numPr>
          <w:ilvl w:val="0"/>
          <w:numId w:val="0"/>
        </w:numPr>
        <w:spacing w:before="0" w:after="360"/>
        <w:ind w:left="357"/>
        <w:jc w:val="both"/>
      </w:pPr>
      <w:r>
        <w:t xml:space="preserve">Organisations that only receive one-off or short-term funding are not required to demonstrate compliance with the HSQF, although the funded services must still be delivered in accordance with the Human Services Quality Standards. For HSQF purposes, short-term funding is defined as service delivery funded for a period of less than 18 months. Services funded as pilot programs or trials are not required to demonstrate compliance with HSQF as they are being evaluated in another way. </w:t>
      </w:r>
      <w:hyperlink r:id="rId11" w:history="1">
        <w:r w:rsidRPr="00DA71C7">
          <w:rPr>
            <w:rStyle w:val="Hyperlink"/>
          </w:rPr>
          <w:t>HSQF Framework</w:t>
        </w:r>
      </w:hyperlink>
    </w:p>
    <w:p w14:paraId="2CA8A73C" w14:textId="5A93E22B" w:rsidR="00DA71C7" w:rsidRPr="00EC0EF1" w:rsidRDefault="00BA5371" w:rsidP="00DA71C7">
      <w:pPr>
        <w:pStyle w:val="ListBullet"/>
        <w:numPr>
          <w:ilvl w:val="0"/>
          <w:numId w:val="11"/>
        </w:numPr>
        <w:spacing w:before="120" w:after="120"/>
        <w:rPr>
          <w:b/>
          <w:bCs/>
        </w:rPr>
      </w:pPr>
      <w:r>
        <w:rPr>
          <w:b/>
          <w:bCs/>
        </w:rPr>
        <w:t xml:space="preserve">Can community organisations apply for an Age-friendly Community </w:t>
      </w:r>
      <w:r w:rsidR="004F03FC">
        <w:rPr>
          <w:b/>
          <w:bCs/>
        </w:rPr>
        <w:t xml:space="preserve">Development </w:t>
      </w:r>
      <w:r>
        <w:rPr>
          <w:b/>
          <w:bCs/>
        </w:rPr>
        <w:t xml:space="preserve">Grant? </w:t>
      </w:r>
    </w:p>
    <w:p w14:paraId="233CE080" w14:textId="2C503DA9" w:rsidR="00596AA7" w:rsidRDefault="00BA5371" w:rsidP="00820292">
      <w:pPr>
        <w:spacing w:before="120"/>
        <w:ind w:left="426"/>
        <w:jc w:val="both"/>
      </w:pPr>
      <w:r>
        <w:t xml:space="preserve">The grant is only open to local government, </w:t>
      </w:r>
      <w:r w:rsidR="004F03FC">
        <w:t xml:space="preserve">who will work </w:t>
      </w:r>
      <w:r>
        <w:t xml:space="preserve">in partnership with </w:t>
      </w:r>
      <w:r w:rsidR="004F03FC">
        <w:t xml:space="preserve">local </w:t>
      </w:r>
      <w:r>
        <w:t>community organisations.</w:t>
      </w:r>
    </w:p>
    <w:sectPr w:rsidR="00596AA7" w:rsidSect="00235B68">
      <w:headerReference w:type="default" r:id="rId12"/>
      <w:footerReference w:type="default" r:id="rId13"/>
      <w:headerReference w:type="first" r:id="rId14"/>
      <w:footerReference w:type="first" r:id="rId15"/>
      <w:type w:val="continuous"/>
      <w:pgSz w:w="11906" w:h="16838" w:code="9"/>
      <w:pgMar w:top="2211" w:right="1134" w:bottom="1418"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D33F" w14:textId="77777777" w:rsidR="00452508" w:rsidRDefault="00452508">
      <w:pPr>
        <w:spacing w:after="0"/>
      </w:pPr>
      <w:r>
        <w:separator/>
      </w:r>
    </w:p>
  </w:endnote>
  <w:endnote w:type="continuationSeparator" w:id="0">
    <w:p w14:paraId="2D7F4159" w14:textId="77777777" w:rsidR="00452508" w:rsidRDefault="00452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375D7204" w:rsidR="00AC5026" w:rsidRPr="00AC5026" w:rsidRDefault="00BA5371" w:rsidP="00722F38">
    <w:pPr>
      <w:pStyle w:val="Footer"/>
      <w:jc w:val="center"/>
    </w:pPr>
    <w:r w:rsidRPr="00AC5026">
      <w:fldChar w:fldCharType="begin"/>
    </w:r>
    <w:r w:rsidRPr="00AC5026">
      <w:instrText xml:space="preserve"> PAGE   \* MERGEFORMAT </w:instrText>
    </w:r>
    <w:r w:rsidRPr="00AC5026">
      <w:fldChar w:fldCharType="separate"/>
    </w:r>
    <w:r w:rsidRPr="00AC5026">
      <w:t>3</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BA5371" w:rsidP="00AC5026">
    <w:pPr>
      <w:pStyle w:val="Footer"/>
    </w:pPr>
    <w:r>
      <w:rPr>
        <w:noProof/>
      </w:rPr>
      <w:drawing>
        <wp:anchor distT="0" distB="0" distL="114300" distR="114300" simplePos="0" relativeHeight="251658240" behindDoc="1" locked="0" layoutInCell="1" allowOverlap="1" wp14:anchorId="12A0BA92" wp14:editId="3B2225EA">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3314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B42B" w14:textId="77777777" w:rsidR="00452508" w:rsidRDefault="00452508">
      <w:pPr>
        <w:spacing w:after="0"/>
      </w:pPr>
      <w:r>
        <w:separator/>
      </w:r>
    </w:p>
  </w:footnote>
  <w:footnote w:type="continuationSeparator" w:id="0">
    <w:p w14:paraId="52FAACF1" w14:textId="77777777" w:rsidR="00452508" w:rsidRDefault="004525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2CDE273" w:rsidR="00B21459" w:rsidRDefault="00BA5371" w:rsidP="00820292">
    <w:pPr>
      <w:pStyle w:val="Header"/>
      <w:spacing w:before="360"/>
    </w:pPr>
    <w:r>
      <w:rPr>
        <w:noProof/>
      </w:rPr>
      <w:drawing>
        <wp:anchor distT="0" distB="0" distL="114300" distR="114300" simplePos="0" relativeHeight="251660288" behindDoc="1" locked="1" layoutInCell="1" allowOverlap="1" wp14:anchorId="3535890F" wp14:editId="61D7E6FA">
          <wp:simplePos x="0" y="0"/>
          <wp:positionH relativeFrom="column">
            <wp:posOffset>-720090</wp:posOffset>
          </wp:positionH>
          <wp:positionV relativeFrom="page">
            <wp:posOffset>4445</wp:posOffset>
          </wp:positionV>
          <wp:extent cx="7559675" cy="676275"/>
          <wp:effectExtent l="0" t="0" r="0" b="0"/>
          <wp:wrapNone/>
          <wp:docPr id="11607203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91564"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r w:rsidR="00670244">
      <w:t xml:space="preserve">Age-friendly Community </w:t>
    </w:r>
    <w:r w:rsidR="00CC5223">
      <w:t xml:space="preserve">Development </w:t>
    </w:r>
    <w:r w:rsidR="00670244">
      <w:t>Grant Program</w:t>
    </w:r>
    <w:r w:rsidR="00AF0236">
      <w:t xml:space="preserve"> - FAQs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129BB62C" w:rsidR="00E75DC9" w:rsidRDefault="00BA5371">
    <w:pPr>
      <w:pStyle w:val="Header"/>
    </w:pPr>
    <w:r>
      <w:rPr>
        <w:noProof/>
      </w:rPr>
      <w:drawing>
        <wp:anchor distT="0" distB="0" distL="114300" distR="114300" simplePos="0" relativeHeight="251659264" behindDoc="1" locked="1" layoutInCell="1" allowOverlap="1" wp14:anchorId="32C4FF8E" wp14:editId="4A8CB24B">
          <wp:simplePos x="0" y="0"/>
          <wp:positionH relativeFrom="column">
            <wp:posOffset>-717550</wp:posOffset>
          </wp:positionH>
          <wp:positionV relativeFrom="page">
            <wp:posOffset>-3810</wp:posOffset>
          </wp:positionV>
          <wp:extent cx="7559675" cy="1205865"/>
          <wp:effectExtent l="0" t="0" r="0" b="635"/>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13911"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FC933DB"/>
    <w:multiLevelType w:val="hybridMultilevel"/>
    <w:tmpl w:val="089A75A4"/>
    <w:lvl w:ilvl="0" w:tplc="DD38608C">
      <w:start w:val="1"/>
      <w:numFmt w:val="decimal"/>
      <w:lvlText w:val="%1."/>
      <w:lvlJc w:val="left"/>
      <w:pPr>
        <w:ind w:left="360" w:hanging="360"/>
      </w:pPr>
    </w:lvl>
    <w:lvl w:ilvl="1" w:tplc="68F299E4" w:tentative="1">
      <w:start w:val="1"/>
      <w:numFmt w:val="lowerLetter"/>
      <w:lvlText w:val="%2."/>
      <w:lvlJc w:val="left"/>
      <w:pPr>
        <w:ind w:left="1080" w:hanging="360"/>
      </w:pPr>
    </w:lvl>
    <w:lvl w:ilvl="2" w:tplc="67383AB0" w:tentative="1">
      <w:start w:val="1"/>
      <w:numFmt w:val="lowerRoman"/>
      <w:lvlText w:val="%3."/>
      <w:lvlJc w:val="right"/>
      <w:pPr>
        <w:ind w:left="1800" w:hanging="180"/>
      </w:pPr>
    </w:lvl>
    <w:lvl w:ilvl="3" w:tplc="CEEE262C" w:tentative="1">
      <w:start w:val="1"/>
      <w:numFmt w:val="decimal"/>
      <w:lvlText w:val="%4."/>
      <w:lvlJc w:val="left"/>
      <w:pPr>
        <w:ind w:left="2520" w:hanging="360"/>
      </w:pPr>
    </w:lvl>
    <w:lvl w:ilvl="4" w:tplc="C9EAA364" w:tentative="1">
      <w:start w:val="1"/>
      <w:numFmt w:val="lowerLetter"/>
      <w:lvlText w:val="%5."/>
      <w:lvlJc w:val="left"/>
      <w:pPr>
        <w:ind w:left="3240" w:hanging="360"/>
      </w:pPr>
    </w:lvl>
    <w:lvl w:ilvl="5" w:tplc="C6509A44" w:tentative="1">
      <w:start w:val="1"/>
      <w:numFmt w:val="lowerRoman"/>
      <w:lvlText w:val="%6."/>
      <w:lvlJc w:val="right"/>
      <w:pPr>
        <w:ind w:left="3960" w:hanging="180"/>
      </w:pPr>
    </w:lvl>
    <w:lvl w:ilvl="6" w:tplc="CE32D2A8" w:tentative="1">
      <w:start w:val="1"/>
      <w:numFmt w:val="decimal"/>
      <w:lvlText w:val="%7."/>
      <w:lvlJc w:val="left"/>
      <w:pPr>
        <w:ind w:left="4680" w:hanging="360"/>
      </w:pPr>
    </w:lvl>
    <w:lvl w:ilvl="7" w:tplc="F460A1AA" w:tentative="1">
      <w:start w:val="1"/>
      <w:numFmt w:val="lowerLetter"/>
      <w:lvlText w:val="%8."/>
      <w:lvlJc w:val="left"/>
      <w:pPr>
        <w:ind w:left="5400" w:hanging="360"/>
      </w:pPr>
    </w:lvl>
    <w:lvl w:ilvl="8" w:tplc="9FA89B60" w:tentative="1">
      <w:start w:val="1"/>
      <w:numFmt w:val="lowerRoman"/>
      <w:lvlText w:val="%9."/>
      <w:lvlJc w:val="right"/>
      <w:pPr>
        <w:ind w:left="6120" w:hanging="180"/>
      </w:pPr>
    </w:lvl>
  </w:abstractNum>
  <w:abstractNum w:abstractNumId="11" w15:restartNumberingAfterBreak="0">
    <w:nsid w:val="65F82DD8"/>
    <w:multiLevelType w:val="multilevel"/>
    <w:tmpl w:val="F1FA8730"/>
    <w:lvl w:ilvl="0">
      <w:start w:val="1"/>
      <w:numFmt w:val="decimal"/>
      <w:lvlText w:val="%1."/>
      <w:lvlJc w:val="left"/>
      <w:pPr>
        <w:tabs>
          <w:tab w:val="num" w:pos="851"/>
        </w:tabs>
        <w:ind w:left="851" w:hanging="851"/>
      </w:pPr>
      <w:rPr>
        <w:rFonts w:hint="default"/>
        <w:b/>
        <w:i w:val="0"/>
        <w:color w:val="853D96"/>
        <w:sz w:val="48"/>
        <w:szCs w:val="32"/>
      </w:rPr>
    </w:lvl>
    <w:lvl w:ilvl="1">
      <w:start w:val="1"/>
      <w:numFmt w:val="decimal"/>
      <w:pStyle w:val="NoHeading2"/>
      <w:lvlText w:val="%1.%2"/>
      <w:lvlJc w:val="left"/>
      <w:pPr>
        <w:tabs>
          <w:tab w:val="num" w:pos="851"/>
        </w:tabs>
        <w:ind w:left="851" w:hanging="851"/>
      </w:pPr>
      <w:rPr>
        <w:rFonts w:hint="default"/>
        <w:b/>
        <w:i w:val="0"/>
        <w:color w:val="225E6A"/>
        <w:sz w:val="32"/>
      </w:rPr>
    </w:lvl>
    <w:lvl w:ilvl="2">
      <w:start w:val="1"/>
      <w:numFmt w:val="decimal"/>
      <w:pStyle w:val="NoHeading3"/>
      <w:lvlText w:val="%1.%2.%3"/>
      <w:lvlJc w:val="left"/>
      <w:pPr>
        <w:tabs>
          <w:tab w:val="num" w:pos="851"/>
        </w:tabs>
        <w:ind w:left="851" w:hanging="851"/>
      </w:p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2" w15:restartNumberingAfterBreak="0">
    <w:nsid w:val="6B864769"/>
    <w:multiLevelType w:val="multilevel"/>
    <w:tmpl w:val="D05016FE"/>
    <w:lvl w:ilvl="0">
      <w:start w:val="1"/>
      <w:numFmt w:val="decimal"/>
      <w:lvlText w:val="%1."/>
      <w:lvlJc w:val="left"/>
      <w:pPr>
        <w:ind w:left="567" w:hanging="567"/>
      </w:pPr>
      <w:rPr>
        <w:rFonts w:hint="default"/>
        <w:b w:val="0"/>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num w:numId="1" w16cid:durableId="1769109450">
    <w:abstractNumId w:val="9"/>
  </w:num>
  <w:num w:numId="2" w16cid:durableId="923413220">
    <w:abstractNumId w:val="7"/>
  </w:num>
  <w:num w:numId="3" w16cid:durableId="546188155">
    <w:abstractNumId w:val="6"/>
  </w:num>
  <w:num w:numId="4" w16cid:durableId="238253774">
    <w:abstractNumId w:val="5"/>
  </w:num>
  <w:num w:numId="5" w16cid:durableId="1184053818">
    <w:abstractNumId w:val="4"/>
  </w:num>
  <w:num w:numId="6" w16cid:durableId="1888180701">
    <w:abstractNumId w:val="8"/>
  </w:num>
  <w:num w:numId="7" w16cid:durableId="2068185949">
    <w:abstractNumId w:val="3"/>
  </w:num>
  <w:num w:numId="8" w16cid:durableId="698630587">
    <w:abstractNumId w:val="2"/>
  </w:num>
  <w:num w:numId="9" w16cid:durableId="1423647479">
    <w:abstractNumId w:val="1"/>
  </w:num>
  <w:num w:numId="10" w16cid:durableId="1630821944">
    <w:abstractNumId w:val="0"/>
  </w:num>
  <w:num w:numId="11" w16cid:durableId="2042199798">
    <w:abstractNumId w:val="10"/>
  </w:num>
  <w:num w:numId="12" w16cid:durableId="1027368667">
    <w:abstractNumId w:val="9"/>
  </w:num>
  <w:num w:numId="13" w16cid:durableId="1950812070">
    <w:abstractNumId w:val="9"/>
  </w:num>
  <w:num w:numId="14" w16cid:durableId="1979455607">
    <w:abstractNumId w:val="9"/>
  </w:num>
  <w:num w:numId="15" w16cid:durableId="1693143286">
    <w:abstractNumId w:val="9"/>
  </w:num>
  <w:num w:numId="16" w16cid:durableId="903832680">
    <w:abstractNumId w:val="9"/>
  </w:num>
  <w:num w:numId="17" w16cid:durableId="1295023102">
    <w:abstractNumId w:val="9"/>
  </w:num>
  <w:num w:numId="18" w16cid:durableId="171992577">
    <w:abstractNumId w:val="9"/>
  </w:num>
  <w:num w:numId="19" w16cid:durableId="1256551666">
    <w:abstractNumId w:val="9"/>
  </w:num>
  <w:num w:numId="20" w16cid:durableId="83042045">
    <w:abstractNumId w:val="9"/>
  </w:num>
  <w:num w:numId="21" w16cid:durableId="1821732416">
    <w:abstractNumId w:val="9"/>
  </w:num>
  <w:num w:numId="22" w16cid:durableId="1267272996">
    <w:abstractNumId w:val="9"/>
  </w:num>
  <w:num w:numId="23" w16cid:durableId="901524280">
    <w:abstractNumId w:val="9"/>
  </w:num>
  <w:num w:numId="24" w16cid:durableId="1018888242">
    <w:abstractNumId w:val="9"/>
  </w:num>
  <w:num w:numId="25" w16cid:durableId="1046681056">
    <w:abstractNumId w:val="9"/>
  </w:num>
  <w:num w:numId="26" w16cid:durableId="816992120">
    <w:abstractNumId w:val="9"/>
  </w:num>
  <w:num w:numId="27" w16cid:durableId="1410231783">
    <w:abstractNumId w:val="9"/>
  </w:num>
  <w:num w:numId="28" w16cid:durableId="1076584429">
    <w:abstractNumId w:val="9"/>
  </w:num>
  <w:num w:numId="29" w16cid:durableId="1497069329">
    <w:abstractNumId w:val="9"/>
  </w:num>
  <w:num w:numId="30" w16cid:durableId="1812206596">
    <w:abstractNumId w:val="9"/>
  </w:num>
  <w:num w:numId="31" w16cid:durableId="2112580082">
    <w:abstractNumId w:val="9"/>
  </w:num>
  <w:num w:numId="32" w16cid:durableId="257295336">
    <w:abstractNumId w:val="11"/>
  </w:num>
  <w:num w:numId="33" w16cid:durableId="1706060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6A30"/>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4A64"/>
    <w:rsid w:val="000750DB"/>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295"/>
    <w:rsid w:val="00176532"/>
    <w:rsid w:val="00177212"/>
    <w:rsid w:val="00180D45"/>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279C0"/>
    <w:rsid w:val="00230F7C"/>
    <w:rsid w:val="002313BE"/>
    <w:rsid w:val="002314C8"/>
    <w:rsid w:val="00232FAE"/>
    <w:rsid w:val="00233842"/>
    <w:rsid w:val="00234730"/>
    <w:rsid w:val="00234764"/>
    <w:rsid w:val="002358C4"/>
    <w:rsid w:val="00235B68"/>
    <w:rsid w:val="00240804"/>
    <w:rsid w:val="00240863"/>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51B"/>
    <w:rsid w:val="00293B16"/>
    <w:rsid w:val="00295094"/>
    <w:rsid w:val="0029647F"/>
    <w:rsid w:val="00296B22"/>
    <w:rsid w:val="00296C2A"/>
    <w:rsid w:val="00297184"/>
    <w:rsid w:val="00297EBF"/>
    <w:rsid w:val="002A1021"/>
    <w:rsid w:val="002A25BB"/>
    <w:rsid w:val="002A3AFE"/>
    <w:rsid w:val="002A4350"/>
    <w:rsid w:val="002A4D7C"/>
    <w:rsid w:val="002A4E67"/>
    <w:rsid w:val="002A5CDE"/>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952"/>
    <w:rsid w:val="00355BA9"/>
    <w:rsid w:val="0035627A"/>
    <w:rsid w:val="003576A5"/>
    <w:rsid w:val="0036015C"/>
    <w:rsid w:val="00361955"/>
    <w:rsid w:val="0036295B"/>
    <w:rsid w:val="00364D5C"/>
    <w:rsid w:val="00364DBE"/>
    <w:rsid w:val="00365D84"/>
    <w:rsid w:val="00366E6E"/>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508"/>
    <w:rsid w:val="00452823"/>
    <w:rsid w:val="0045286A"/>
    <w:rsid w:val="00454795"/>
    <w:rsid w:val="00454AD2"/>
    <w:rsid w:val="00456F37"/>
    <w:rsid w:val="0045724B"/>
    <w:rsid w:val="004573DB"/>
    <w:rsid w:val="00460670"/>
    <w:rsid w:val="00461540"/>
    <w:rsid w:val="00462DFB"/>
    <w:rsid w:val="00463665"/>
    <w:rsid w:val="00464047"/>
    <w:rsid w:val="004656A1"/>
    <w:rsid w:val="0046600D"/>
    <w:rsid w:val="00466620"/>
    <w:rsid w:val="004713FE"/>
    <w:rsid w:val="004715EB"/>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4C9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03FC"/>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BA7"/>
    <w:rsid w:val="00515CD9"/>
    <w:rsid w:val="00515F08"/>
    <w:rsid w:val="005168B7"/>
    <w:rsid w:val="005168B9"/>
    <w:rsid w:val="00516CA6"/>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32"/>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07F"/>
    <w:rsid w:val="005604E8"/>
    <w:rsid w:val="00560F1A"/>
    <w:rsid w:val="00561458"/>
    <w:rsid w:val="0056187A"/>
    <w:rsid w:val="00562BBB"/>
    <w:rsid w:val="0056381D"/>
    <w:rsid w:val="005655FC"/>
    <w:rsid w:val="00565B18"/>
    <w:rsid w:val="00566686"/>
    <w:rsid w:val="00566733"/>
    <w:rsid w:val="005672CC"/>
    <w:rsid w:val="0057270F"/>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171C"/>
    <w:rsid w:val="005E2C05"/>
    <w:rsid w:val="005E3DAD"/>
    <w:rsid w:val="005E4432"/>
    <w:rsid w:val="005E6573"/>
    <w:rsid w:val="005E73B1"/>
    <w:rsid w:val="005F3D14"/>
    <w:rsid w:val="005F3EC6"/>
    <w:rsid w:val="005F41E0"/>
    <w:rsid w:val="005F4CE5"/>
    <w:rsid w:val="005F63A3"/>
    <w:rsid w:val="00600712"/>
    <w:rsid w:val="006009F9"/>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810"/>
    <w:rsid w:val="00632F8F"/>
    <w:rsid w:val="006336C8"/>
    <w:rsid w:val="00633B9B"/>
    <w:rsid w:val="00633CAB"/>
    <w:rsid w:val="00635A72"/>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244"/>
    <w:rsid w:val="006705CF"/>
    <w:rsid w:val="00673E4B"/>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B16"/>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2F38"/>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3E9E"/>
    <w:rsid w:val="00774F72"/>
    <w:rsid w:val="00774FE4"/>
    <w:rsid w:val="00775ADB"/>
    <w:rsid w:val="00775BC7"/>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68A7"/>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1799E"/>
    <w:rsid w:val="00820292"/>
    <w:rsid w:val="008224EC"/>
    <w:rsid w:val="0082310B"/>
    <w:rsid w:val="00824263"/>
    <w:rsid w:val="00824778"/>
    <w:rsid w:val="00825DC9"/>
    <w:rsid w:val="00825EF8"/>
    <w:rsid w:val="00826D5F"/>
    <w:rsid w:val="00826F29"/>
    <w:rsid w:val="00827576"/>
    <w:rsid w:val="00827985"/>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06E"/>
    <w:rsid w:val="008529F0"/>
    <w:rsid w:val="00852CF8"/>
    <w:rsid w:val="00852D17"/>
    <w:rsid w:val="0085331B"/>
    <w:rsid w:val="00856342"/>
    <w:rsid w:val="00856917"/>
    <w:rsid w:val="00856C90"/>
    <w:rsid w:val="008572A0"/>
    <w:rsid w:val="00860218"/>
    <w:rsid w:val="00860267"/>
    <w:rsid w:val="00860D53"/>
    <w:rsid w:val="0086202D"/>
    <w:rsid w:val="00863899"/>
    <w:rsid w:val="008639A2"/>
    <w:rsid w:val="0086739B"/>
    <w:rsid w:val="008675B4"/>
    <w:rsid w:val="00870796"/>
    <w:rsid w:val="00871110"/>
    <w:rsid w:val="0087273D"/>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3972"/>
    <w:rsid w:val="00894C81"/>
    <w:rsid w:val="00895500"/>
    <w:rsid w:val="008970E7"/>
    <w:rsid w:val="008A09F1"/>
    <w:rsid w:val="008A0B52"/>
    <w:rsid w:val="008A119F"/>
    <w:rsid w:val="008A30BC"/>
    <w:rsid w:val="008A3656"/>
    <w:rsid w:val="008A394E"/>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D75FE"/>
    <w:rsid w:val="008E0BD0"/>
    <w:rsid w:val="008E1B21"/>
    <w:rsid w:val="008E2184"/>
    <w:rsid w:val="008E22AD"/>
    <w:rsid w:val="008E2EB5"/>
    <w:rsid w:val="008E3952"/>
    <w:rsid w:val="008E3CB5"/>
    <w:rsid w:val="008E4873"/>
    <w:rsid w:val="008E5613"/>
    <w:rsid w:val="008E58D4"/>
    <w:rsid w:val="008E5AB5"/>
    <w:rsid w:val="008F0777"/>
    <w:rsid w:val="008F088C"/>
    <w:rsid w:val="008F3E9F"/>
    <w:rsid w:val="008F600F"/>
    <w:rsid w:val="008F63E6"/>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3AD6"/>
    <w:rsid w:val="0092524B"/>
    <w:rsid w:val="009254A7"/>
    <w:rsid w:val="009259FE"/>
    <w:rsid w:val="0092633E"/>
    <w:rsid w:val="00926A36"/>
    <w:rsid w:val="00926AAD"/>
    <w:rsid w:val="00927EBE"/>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615"/>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37B0"/>
    <w:rsid w:val="009D7443"/>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5260"/>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6667"/>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A772F"/>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236"/>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09BD"/>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5371"/>
    <w:rsid w:val="00BA6C30"/>
    <w:rsid w:val="00BB0321"/>
    <w:rsid w:val="00BB062A"/>
    <w:rsid w:val="00BB14B4"/>
    <w:rsid w:val="00BB3260"/>
    <w:rsid w:val="00BB3AE9"/>
    <w:rsid w:val="00BB5483"/>
    <w:rsid w:val="00BB578B"/>
    <w:rsid w:val="00BB6D5A"/>
    <w:rsid w:val="00BB779E"/>
    <w:rsid w:val="00BB7B4A"/>
    <w:rsid w:val="00BC15C0"/>
    <w:rsid w:val="00BC1D1C"/>
    <w:rsid w:val="00BC3365"/>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B4C"/>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1D71"/>
    <w:rsid w:val="00C937FA"/>
    <w:rsid w:val="00C93C52"/>
    <w:rsid w:val="00C9406D"/>
    <w:rsid w:val="00C9431E"/>
    <w:rsid w:val="00C9528D"/>
    <w:rsid w:val="00C96353"/>
    <w:rsid w:val="00C970DC"/>
    <w:rsid w:val="00C972F3"/>
    <w:rsid w:val="00C9738C"/>
    <w:rsid w:val="00CA0C5A"/>
    <w:rsid w:val="00CA0FB1"/>
    <w:rsid w:val="00CA22A3"/>
    <w:rsid w:val="00CA54E0"/>
    <w:rsid w:val="00CA5CC6"/>
    <w:rsid w:val="00CA7761"/>
    <w:rsid w:val="00CB253F"/>
    <w:rsid w:val="00CB2D98"/>
    <w:rsid w:val="00CB7A6B"/>
    <w:rsid w:val="00CC2FFE"/>
    <w:rsid w:val="00CC4468"/>
    <w:rsid w:val="00CC5223"/>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5D3"/>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A71C7"/>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483D"/>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0EF1"/>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39DE"/>
    <w:rsid w:val="00EF48AB"/>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2D43"/>
    <w:rsid w:val="00F73030"/>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003C"/>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EB7"/>
    <w:rsid w:val="00FC3F91"/>
    <w:rsid w:val="00FC48E3"/>
    <w:rsid w:val="00FC498C"/>
    <w:rsid w:val="00FC4C50"/>
    <w:rsid w:val="00FD2D8D"/>
    <w:rsid w:val="00FD355B"/>
    <w:rsid w:val="00FD3628"/>
    <w:rsid w:val="00FD4003"/>
    <w:rsid w:val="00FD4138"/>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A18F91"/>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Heading3"/>
    <w:next w:val="Normal"/>
    <w:qFormat/>
    <w:rsid w:val="00820292"/>
    <w:pPr>
      <w:outlineLvl w:val="0"/>
    </w:pPr>
    <w:rPr>
      <w:color w:val="225E6A"/>
      <w:sz w:val="48"/>
      <w:szCs w:val="48"/>
      <w:lang w:eastAsia="en-US"/>
    </w:rPr>
  </w:style>
  <w:style w:type="paragraph" w:styleId="Heading2">
    <w:name w:val="heading 2"/>
    <w:basedOn w:val="Heading3"/>
    <w:next w:val="Normal"/>
    <w:qFormat/>
    <w:rsid w:val="00820292"/>
    <w:pPr>
      <w:outlineLvl w:val="1"/>
    </w:pPr>
    <w:rPr>
      <w:b w:val="0"/>
      <w:bCs w:val="0"/>
      <w:color w:val="225E6A"/>
      <w:sz w:val="40"/>
      <w:szCs w:val="40"/>
      <w:lang w:eastAsia="en-US"/>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spacing w:before="60" w:after="60"/>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customStyle="1" w:styleId="Hashtag1">
    <w:name w:val="Hashtag1"/>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customStyle="1" w:styleId="Mention1">
    <w:name w:val="Mention1"/>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670244"/>
    <w:pPr>
      <w:ind w:left="720"/>
      <w:contextualSpacing/>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670244"/>
    <w:rPr>
      <w:rFonts w:ascii="Arial" w:hAnsi="Arial"/>
      <w:sz w:val="22"/>
      <w:szCs w:val="24"/>
      <w:lang w:eastAsia="en-AU"/>
    </w:rPr>
  </w:style>
  <w:style w:type="character" w:styleId="CommentReference">
    <w:name w:val="annotation reference"/>
    <w:basedOn w:val="DefaultParagraphFont"/>
    <w:uiPriority w:val="99"/>
    <w:unhideWhenUsed/>
    <w:rsid w:val="00670244"/>
    <w:rPr>
      <w:sz w:val="16"/>
      <w:szCs w:val="16"/>
    </w:rPr>
  </w:style>
  <w:style w:type="paragraph" w:styleId="CommentText">
    <w:name w:val="annotation text"/>
    <w:basedOn w:val="Normal"/>
    <w:link w:val="CommentTextChar"/>
    <w:uiPriority w:val="99"/>
    <w:unhideWhenUsed/>
    <w:rsid w:val="00670244"/>
    <w:pPr>
      <w:spacing w:after="16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670244"/>
    <w:rPr>
      <w:rFonts w:ascii="Arial" w:eastAsiaTheme="minorHAnsi" w:hAnsi="Arial" w:cstheme="minorBidi"/>
    </w:rPr>
  </w:style>
  <w:style w:type="character" w:customStyle="1" w:styleId="UnresolvedMention1">
    <w:name w:val="Unresolved Mention1"/>
    <w:basedOn w:val="DefaultParagraphFont"/>
    <w:uiPriority w:val="99"/>
    <w:semiHidden/>
    <w:unhideWhenUsed/>
    <w:rsid w:val="00DA71C7"/>
    <w:rPr>
      <w:color w:val="605E5C"/>
      <w:shd w:val="clear" w:color="auto" w:fill="E1DFDD"/>
    </w:rPr>
  </w:style>
  <w:style w:type="paragraph" w:styleId="CommentSubject">
    <w:name w:val="annotation subject"/>
    <w:basedOn w:val="CommentText"/>
    <w:next w:val="CommentText"/>
    <w:link w:val="CommentSubjectChar"/>
    <w:rsid w:val="00BC3365"/>
    <w:pPr>
      <w:spacing w:after="120"/>
    </w:pPr>
    <w:rPr>
      <w:rFonts w:eastAsia="Times New Roman" w:cs="Times New Roman"/>
      <w:b/>
      <w:bCs/>
      <w:lang w:eastAsia="en-AU"/>
    </w:rPr>
  </w:style>
  <w:style w:type="character" w:customStyle="1" w:styleId="CommentSubjectChar">
    <w:name w:val="Comment Subject Char"/>
    <w:basedOn w:val="CommentTextChar"/>
    <w:link w:val="CommentSubject"/>
    <w:rsid w:val="00BC3365"/>
    <w:rPr>
      <w:rFonts w:ascii="Arial" w:eastAsiaTheme="minorHAnsi" w:hAnsi="Arial" w:cstheme="minorBidi"/>
      <w:b/>
      <w:bCs/>
      <w:lang w:eastAsia="en-AU"/>
    </w:rPr>
  </w:style>
  <w:style w:type="paragraph" w:styleId="Revision">
    <w:name w:val="Revision"/>
    <w:hidden/>
    <w:uiPriority w:val="71"/>
    <w:rsid w:val="004715EB"/>
    <w:rPr>
      <w:rFonts w:ascii="Arial" w:hAnsi="Arial"/>
      <w:sz w:val="22"/>
      <w:szCs w:val="24"/>
      <w:lang w:eastAsia="en-AU"/>
    </w:rPr>
  </w:style>
  <w:style w:type="paragraph" w:customStyle="1" w:styleId="NoHeading3">
    <w:name w:val="No. Heading 3"/>
    <w:basedOn w:val="Heading3"/>
    <w:next w:val="BodyText"/>
    <w:rsid w:val="00366E6E"/>
    <w:pPr>
      <w:numPr>
        <w:ilvl w:val="2"/>
        <w:numId w:val="32"/>
      </w:numPr>
      <w:tabs>
        <w:tab w:val="left" w:pos="2670"/>
      </w:tabs>
    </w:pPr>
    <w:rPr>
      <w:rFonts w:cs="Times New Roman"/>
      <w:color w:val="000000" w:themeColor="text1"/>
      <w:szCs w:val="22"/>
    </w:rPr>
  </w:style>
  <w:style w:type="paragraph" w:customStyle="1" w:styleId="NoHeading2">
    <w:name w:val="No. Heading 2"/>
    <w:basedOn w:val="Heading2"/>
    <w:next w:val="BodyText"/>
    <w:rsid w:val="00366E6E"/>
    <w:pPr>
      <w:numPr>
        <w:ilvl w:val="1"/>
        <w:numId w:val="32"/>
      </w:numPr>
    </w:pPr>
    <w:rPr>
      <w:rFonts w:cs="Times New Roman"/>
      <w:iCs/>
      <w:color w:val="27575E"/>
      <w:szCs w:val="24"/>
    </w:rPr>
  </w:style>
  <w:style w:type="character" w:styleId="UnresolvedMention">
    <w:name w:val="Unresolved Mention"/>
    <w:basedOn w:val="DefaultParagraphFont"/>
    <w:rsid w:val="00600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3A%2F%2Fwww.qld.gov.au%2Fagefriendlygrants&amp;data=05%7C02%7CAngela.Bellew%40dcssds.qld.gov.au%7Ce44c90e53dc64f0a40d708dd5c7106d0%7C95b907c2752b485088ad86939ce522f0%7C0%7C0%7C638768362717367672%7CUnknown%7CTWFpbGZsb3d8eyJFbXB0eU1hcGkiOnRydWUsIlYiOiIwLjAuMDAwMCIsIlAiOiJXaW4zMiIsIkFOIjoiTWFpbCIsIldUIjoyfQ%3D%3D%7C0%7C%7C%7C&amp;sdata=k3JZIaG5TMkf3rwjEbMWNpX30Lf4xC6LWoDeIMxcG6s%3D&amp;reserved=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ocs.ebus.root.internal/otcsdav/nodes/144740943/HSQF%20framework_DSDSATSIP.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niors@dcssds.qld.gov.au" TargetMode="External"/><Relationship Id="rId4" Type="http://schemas.openxmlformats.org/officeDocument/2006/relationships/settings" Target="settings.xml"/><Relationship Id="rId9" Type="http://schemas.openxmlformats.org/officeDocument/2006/relationships/hyperlink" Target="mailto:service@smartygrants.com.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3</Pages>
  <Words>933</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Age friendly community development grant FAQs</vt:lpstr>
    </vt:vector>
  </TitlesOfParts>
  <Manager/>
  <Company>Queensland Government</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friendly community development grant FAQs</dc:title>
  <dc:subject>Older Queenslanders</dc:subject>
  <dc:creator>Queensland Government</dc:creator>
  <cp:keywords>age; friendly; community; grants; frequently; asked; questions</cp:keywords>
  <cp:lastModifiedBy>Tanya z Campbell</cp:lastModifiedBy>
  <cp:revision>6</cp:revision>
  <dcterms:created xsi:type="dcterms:W3CDTF">2025-03-25T21:45:00Z</dcterms:created>
  <dcterms:modified xsi:type="dcterms:W3CDTF">2025-03-25T23:06:00Z</dcterms:modified>
  <cp:category/>
</cp:coreProperties>
</file>