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D3D3" w14:textId="77777777" w:rsidR="00A72C57" w:rsidRDefault="0076406B" w:rsidP="00F24C19">
      <w:pPr>
        <w:pStyle w:val="Heading1"/>
      </w:pPr>
      <w:r>
        <w:t xml:space="preserve">Data </w:t>
      </w:r>
      <w:r w:rsidR="00731AAD">
        <w:t>B</w:t>
      </w:r>
      <w:r>
        <w:t xml:space="preserve">reach </w:t>
      </w:r>
      <w:r w:rsidR="00731AAD">
        <w:t>P</w:t>
      </w:r>
      <w:r>
        <w:t>olicy</w:t>
      </w:r>
      <w:r w:rsidRPr="004F191C">
        <w:t xml:space="preserve"> </w:t>
      </w:r>
    </w:p>
    <w:p w14:paraId="38242DBB" w14:textId="77777777" w:rsidR="00A72C57" w:rsidRDefault="0076406B" w:rsidP="006719AF">
      <w:pPr>
        <w:pStyle w:val="Heading2"/>
        <w:numPr>
          <w:ilvl w:val="0"/>
          <w:numId w:val="6"/>
        </w:numPr>
      </w:pPr>
      <w:r>
        <w:t xml:space="preserve">Purpose and scope </w:t>
      </w:r>
    </w:p>
    <w:p w14:paraId="5EFB1DDF" w14:textId="77777777" w:rsidR="002B7F61" w:rsidRDefault="0076406B" w:rsidP="002B7F61">
      <w:r>
        <w:t xml:space="preserve">This </w:t>
      </w:r>
      <w:r w:rsidR="008B4059">
        <w:t xml:space="preserve">Data Breach </w:t>
      </w:r>
      <w:r w:rsidR="00731AAD">
        <w:t>P</w:t>
      </w:r>
      <w:r>
        <w:t>olicy</w:t>
      </w:r>
      <w:r w:rsidR="008B4059">
        <w:t xml:space="preserve"> (</w:t>
      </w:r>
      <w:r w:rsidR="008B4059" w:rsidRPr="008B4059">
        <w:rPr>
          <w:b/>
          <w:bCs/>
        </w:rPr>
        <w:t>the policy</w:t>
      </w:r>
      <w:r w:rsidR="008B4059">
        <w:t>)</w:t>
      </w:r>
      <w:r>
        <w:t xml:space="preserve"> establishes the framework for identifying, managing and responding to data breaches within the Department of Families, Seniors, Disability Services and Child Safety (</w:t>
      </w:r>
      <w:r w:rsidRPr="008B4059">
        <w:rPr>
          <w:b/>
          <w:bCs/>
        </w:rPr>
        <w:t>the department</w:t>
      </w:r>
      <w:r>
        <w:t>).</w:t>
      </w:r>
    </w:p>
    <w:p w14:paraId="62B5E407" w14:textId="77777777" w:rsidR="001842D0" w:rsidRDefault="0076406B" w:rsidP="002B7F61">
      <w:r>
        <w:t xml:space="preserve">It is developed in compliance with the </w:t>
      </w:r>
      <w:r>
        <w:rPr>
          <w:i/>
          <w:iCs/>
        </w:rPr>
        <w:t xml:space="preserve">Information Privacy Act 2009 </w:t>
      </w:r>
      <w:r>
        <w:t>(</w:t>
      </w:r>
      <w:r w:rsidRPr="008B4059">
        <w:rPr>
          <w:b/>
          <w:bCs/>
        </w:rPr>
        <w:t>IP Act</w:t>
      </w:r>
      <w:r>
        <w:t xml:space="preserve">), </w:t>
      </w:r>
      <w:r w:rsidRPr="001842D0">
        <w:t>the Queensland Government Information and Cyber Security Policy (</w:t>
      </w:r>
      <w:r w:rsidRPr="008B4059">
        <w:rPr>
          <w:b/>
          <w:bCs/>
        </w:rPr>
        <w:t>IS18:2025</w:t>
      </w:r>
      <w:r w:rsidRPr="001842D0">
        <w:t>), and other relevant legislation.</w:t>
      </w:r>
    </w:p>
    <w:p w14:paraId="76F9CF95" w14:textId="77777777" w:rsidR="001842D0" w:rsidRDefault="0076406B" w:rsidP="002B7F61">
      <w:r>
        <w:t>The</w:t>
      </w:r>
      <w:r w:rsidR="002B7F61">
        <w:t xml:space="preserve"> policy </w:t>
      </w:r>
      <w:r>
        <w:t>a</w:t>
      </w:r>
      <w:r w:rsidR="002B7F61">
        <w:t>i</w:t>
      </w:r>
      <w:r>
        <w:t>m</w:t>
      </w:r>
      <w:r w:rsidR="002B7F61">
        <w:t>s</w:t>
      </w:r>
      <w:r>
        <w:t xml:space="preserve"> to protect the privacy of individuals, safeguard information held by the departmen</w:t>
      </w:r>
      <w:r w:rsidR="008668E4">
        <w:t>t</w:t>
      </w:r>
      <w:r>
        <w:t xml:space="preserve"> and minimise harm arising from data breaches. </w:t>
      </w:r>
    </w:p>
    <w:p w14:paraId="689D8EAC" w14:textId="77777777" w:rsidR="001842D0" w:rsidRDefault="0076406B" w:rsidP="002B7F61">
      <w:r>
        <w:t>Effective breach management, including notification as appropriate, helps the department to avoid or reduce harm to affected individuals. It also provides an opportunity to learn from incidents and strengthen data protection measures.</w:t>
      </w:r>
    </w:p>
    <w:p w14:paraId="7F774CF3" w14:textId="77777777" w:rsidR="001842D0" w:rsidRPr="001842D0" w:rsidRDefault="0076406B" w:rsidP="008668E4">
      <w:r w:rsidRPr="001842D0">
        <w:t>This policy applies to all employees, contractors, subcontractors, consultants</w:t>
      </w:r>
      <w:r>
        <w:t>,</w:t>
      </w:r>
      <w:r w:rsidRPr="001842D0">
        <w:t xml:space="preserve"> third-party service providers</w:t>
      </w:r>
      <w:r>
        <w:t>, and volunteers</w:t>
      </w:r>
      <w:r w:rsidRPr="001842D0">
        <w:t xml:space="preserve"> who handle </w:t>
      </w:r>
      <w:r>
        <w:t xml:space="preserve">departmental </w:t>
      </w:r>
      <w:r w:rsidRPr="001842D0">
        <w:t xml:space="preserve">data, including personal information, sensitive information and confidential data. It covers all data breaches, whether accidental or deliberate, that occur within the </w:t>
      </w:r>
      <w:r>
        <w:t>department</w:t>
      </w:r>
      <w:r w:rsidRPr="001842D0">
        <w:t>’s IT systems, physical records or third-party services.</w:t>
      </w:r>
    </w:p>
    <w:p w14:paraId="1ECFF8C5" w14:textId="77777777" w:rsidR="007171AC" w:rsidRDefault="0076406B" w:rsidP="00D05B78">
      <w:pPr>
        <w:pStyle w:val="Heading2"/>
        <w:numPr>
          <w:ilvl w:val="0"/>
          <w:numId w:val="6"/>
        </w:numPr>
        <w:spacing w:before="360"/>
      </w:pPr>
      <w:r>
        <w:t xml:space="preserve">Policy statement: </w:t>
      </w:r>
      <w:r w:rsidR="002B7F61">
        <w:t>Responding to a Data Breach</w:t>
      </w:r>
    </w:p>
    <w:p w14:paraId="2B876606" w14:textId="77777777" w:rsidR="0027559E" w:rsidRDefault="0076406B" w:rsidP="006719AF">
      <w:pPr>
        <w:pStyle w:val="CUNumber2"/>
        <w:widowControl w:val="0"/>
        <w:numPr>
          <w:ilvl w:val="1"/>
          <w:numId w:val="11"/>
        </w:numPr>
        <w:rPr>
          <w:bCs/>
          <w:sz w:val="28"/>
          <w:szCs w:val="32"/>
        </w:rPr>
      </w:pPr>
      <w:r w:rsidRPr="0027559E">
        <w:rPr>
          <w:bCs/>
          <w:sz w:val="28"/>
          <w:szCs w:val="32"/>
        </w:rPr>
        <w:t>Reporting a Data Breach</w:t>
      </w:r>
    </w:p>
    <w:p w14:paraId="0461C076" w14:textId="77777777" w:rsidR="008F4A4D" w:rsidRPr="008F4A4D" w:rsidRDefault="0076406B" w:rsidP="006719AF">
      <w:pPr>
        <w:pStyle w:val="CUNumber2"/>
        <w:widowControl w:val="0"/>
        <w:numPr>
          <w:ilvl w:val="2"/>
          <w:numId w:val="11"/>
        </w:numPr>
        <w:spacing w:after="120"/>
        <w:rPr>
          <w:b w:val="0"/>
          <w:color w:val="2C6969" w:themeColor="accent5" w:themeShade="80"/>
          <w:sz w:val="24"/>
          <w:szCs w:val="24"/>
        </w:rPr>
      </w:pPr>
      <w:r w:rsidRPr="008F4A4D">
        <w:rPr>
          <w:b w:val="0"/>
          <w:color w:val="2C6969" w:themeColor="accent5" w:themeShade="80"/>
          <w:sz w:val="24"/>
          <w:szCs w:val="24"/>
        </w:rPr>
        <w:t>Internal reporting</w:t>
      </w:r>
    </w:p>
    <w:p w14:paraId="35211EE6" w14:textId="77777777" w:rsidR="000C7331" w:rsidRDefault="0076406B" w:rsidP="008F4A4D">
      <w:pPr>
        <w:pStyle w:val="CUNumber2"/>
        <w:widowControl w:val="0"/>
        <w:numPr>
          <w:ilvl w:val="0"/>
          <w:numId w:val="0"/>
        </w:numPr>
        <w:rPr>
          <w:b w:val="0"/>
          <w:color w:val="000000" w:themeColor="text1"/>
          <w:sz w:val="22"/>
          <w:szCs w:val="24"/>
        </w:rPr>
      </w:pPr>
      <w:r w:rsidRPr="0027559E">
        <w:rPr>
          <w:b w:val="0"/>
          <w:color w:val="000000" w:themeColor="text1"/>
          <w:sz w:val="22"/>
          <w:szCs w:val="24"/>
        </w:rPr>
        <w:t xml:space="preserve">All actual or suspected data breaches </w:t>
      </w:r>
      <w:r>
        <w:rPr>
          <w:b w:val="0"/>
          <w:color w:val="000000" w:themeColor="text1"/>
          <w:sz w:val="22"/>
          <w:szCs w:val="24"/>
        </w:rPr>
        <w:t xml:space="preserve">that affect personal information </w:t>
      </w:r>
      <w:r w:rsidRPr="0027559E">
        <w:rPr>
          <w:b w:val="0"/>
          <w:color w:val="000000" w:themeColor="text1"/>
          <w:sz w:val="22"/>
          <w:szCs w:val="24"/>
        </w:rPr>
        <w:t>must be reported immediately to th</w:t>
      </w:r>
      <w:r w:rsidRPr="008F4A4D">
        <w:rPr>
          <w:b w:val="0"/>
          <w:color w:val="000000" w:themeColor="text1"/>
          <w:sz w:val="22"/>
          <w:szCs w:val="24"/>
        </w:rPr>
        <w:t>e department</w:t>
      </w:r>
      <w:r w:rsidRPr="0027559E">
        <w:rPr>
          <w:b w:val="0"/>
          <w:color w:val="000000" w:themeColor="text1"/>
          <w:sz w:val="22"/>
          <w:szCs w:val="24"/>
        </w:rPr>
        <w:t>’s I</w:t>
      </w:r>
      <w:r w:rsidRPr="008F4A4D">
        <w:rPr>
          <w:b w:val="0"/>
          <w:color w:val="000000" w:themeColor="text1"/>
          <w:sz w:val="22"/>
          <w:szCs w:val="24"/>
        </w:rPr>
        <w:t xml:space="preserve">nformation Privacy and Governance </w:t>
      </w:r>
      <w:r w:rsidRPr="0027559E">
        <w:rPr>
          <w:b w:val="0"/>
          <w:color w:val="000000" w:themeColor="text1"/>
          <w:sz w:val="22"/>
          <w:szCs w:val="24"/>
        </w:rPr>
        <w:t>team.</w:t>
      </w:r>
      <w:r w:rsidR="00F95918">
        <w:rPr>
          <w:b w:val="0"/>
          <w:color w:val="000000" w:themeColor="text1"/>
          <w:sz w:val="22"/>
          <w:szCs w:val="24"/>
        </w:rPr>
        <w:t xml:space="preserve"> </w:t>
      </w:r>
    </w:p>
    <w:p w14:paraId="52AB2197" w14:textId="77777777" w:rsidR="008F4A4D" w:rsidRPr="008F4A4D" w:rsidRDefault="0076406B" w:rsidP="008F4A4D">
      <w:pPr>
        <w:pStyle w:val="CUNumber2"/>
        <w:widowControl w:val="0"/>
        <w:numPr>
          <w:ilvl w:val="0"/>
          <w:numId w:val="0"/>
        </w:numPr>
        <w:rPr>
          <w:b w:val="0"/>
          <w:color w:val="000000" w:themeColor="text1"/>
          <w:sz w:val="22"/>
          <w:szCs w:val="24"/>
        </w:rPr>
      </w:pPr>
      <w:r>
        <w:rPr>
          <w:b w:val="0"/>
          <w:color w:val="000000" w:themeColor="text1"/>
          <w:sz w:val="22"/>
          <w:szCs w:val="24"/>
        </w:rPr>
        <w:t xml:space="preserve">Where the </w:t>
      </w:r>
      <w:r w:rsidR="00A117F8">
        <w:rPr>
          <w:b w:val="0"/>
          <w:color w:val="000000" w:themeColor="text1"/>
          <w:sz w:val="22"/>
          <w:szCs w:val="24"/>
        </w:rPr>
        <w:t>data</w:t>
      </w:r>
      <w:r>
        <w:rPr>
          <w:b w:val="0"/>
          <w:color w:val="000000" w:themeColor="text1"/>
          <w:sz w:val="22"/>
          <w:szCs w:val="24"/>
        </w:rPr>
        <w:t xml:space="preserve"> breach is also an information security incident, the</w:t>
      </w:r>
      <w:r w:rsidR="00A117F8">
        <w:rPr>
          <w:b w:val="0"/>
          <w:color w:val="000000" w:themeColor="text1"/>
          <w:sz w:val="22"/>
          <w:szCs w:val="24"/>
        </w:rPr>
        <w:t xml:space="preserve"> data breach</w:t>
      </w:r>
      <w:r>
        <w:rPr>
          <w:b w:val="0"/>
          <w:color w:val="000000" w:themeColor="text1"/>
          <w:sz w:val="22"/>
          <w:szCs w:val="24"/>
        </w:rPr>
        <w:t xml:space="preserve"> must also be reported to the Service Desk</w:t>
      </w:r>
      <w:r w:rsidR="00A117F8">
        <w:rPr>
          <w:b w:val="0"/>
          <w:color w:val="000000" w:themeColor="text1"/>
          <w:sz w:val="22"/>
          <w:szCs w:val="24"/>
        </w:rPr>
        <w:t xml:space="preserve"> or the Information Security team.</w:t>
      </w:r>
    </w:p>
    <w:p w14:paraId="0A347500" w14:textId="77777777" w:rsidR="008F4A4D" w:rsidRPr="008F4A4D" w:rsidRDefault="0076406B" w:rsidP="006719AF">
      <w:pPr>
        <w:pStyle w:val="CUNumber2"/>
        <w:widowControl w:val="0"/>
        <w:numPr>
          <w:ilvl w:val="2"/>
          <w:numId w:val="11"/>
        </w:numPr>
        <w:spacing w:after="120"/>
        <w:rPr>
          <w:b w:val="0"/>
          <w:color w:val="2C6969" w:themeColor="accent5" w:themeShade="80"/>
          <w:sz w:val="24"/>
          <w:szCs w:val="24"/>
        </w:rPr>
      </w:pPr>
      <w:r w:rsidRPr="008F4A4D">
        <w:rPr>
          <w:b w:val="0"/>
          <w:color w:val="2C6969" w:themeColor="accent5" w:themeShade="80"/>
          <w:sz w:val="24"/>
          <w:szCs w:val="24"/>
        </w:rPr>
        <w:t>External reporting</w:t>
      </w:r>
    </w:p>
    <w:p w14:paraId="19793DFF" w14:textId="77777777" w:rsidR="008F4A4D" w:rsidRDefault="0076406B" w:rsidP="008B4059">
      <w:pPr>
        <w:pStyle w:val="CUNumber2"/>
        <w:widowControl w:val="0"/>
        <w:numPr>
          <w:ilvl w:val="0"/>
          <w:numId w:val="0"/>
        </w:numPr>
        <w:spacing w:after="0"/>
        <w:rPr>
          <w:b w:val="0"/>
          <w:color w:val="000000" w:themeColor="text1"/>
          <w:sz w:val="22"/>
          <w:szCs w:val="24"/>
        </w:rPr>
      </w:pPr>
      <w:r w:rsidRPr="0027559E">
        <w:rPr>
          <w:b w:val="0"/>
          <w:color w:val="000000" w:themeColor="text1"/>
          <w:sz w:val="22"/>
          <w:szCs w:val="24"/>
        </w:rPr>
        <w:t xml:space="preserve">Members of the public can report a suspected data breach by contacting the </w:t>
      </w:r>
      <w:r w:rsidR="006300A9">
        <w:rPr>
          <w:b w:val="0"/>
          <w:color w:val="000000" w:themeColor="text1"/>
          <w:sz w:val="22"/>
          <w:szCs w:val="24"/>
        </w:rPr>
        <w:t>department</w:t>
      </w:r>
      <w:r w:rsidRPr="0027559E">
        <w:rPr>
          <w:b w:val="0"/>
          <w:color w:val="000000" w:themeColor="text1"/>
          <w:sz w:val="22"/>
          <w:szCs w:val="24"/>
        </w:rPr>
        <w:t xml:space="preserve"> through its website or by phone.</w:t>
      </w:r>
    </w:p>
    <w:p w14:paraId="5B4C0D91" w14:textId="77777777" w:rsidR="008B4059" w:rsidRDefault="008B4059" w:rsidP="008B4059">
      <w:pPr>
        <w:pStyle w:val="CUNumber2"/>
        <w:widowControl w:val="0"/>
        <w:numPr>
          <w:ilvl w:val="0"/>
          <w:numId w:val="0"/>
        </w:numPr>
        <w:spacing w:after="0"/>
        <w:rPr>
          <w:b w:val="0"/>
          <w:color w:val="000000" w:themeColor="text1"/>
          <w:sz w:val="22"/>
          <w:szCs w:val="24"/>
        </w:rPr>
      </w:pPr>
    </w:p>
    <w:p w14:paraId="0FB15AC8" w14:textId="77777777" w:rsidR="008F4A4D" w:rsidRDefault="0076406B" w:rsidP="006719AF">
      <w:pPr>
        <w:pStyle w:val="CUNumber2"/>
        <w:widowControl w:val="0"/>
        <w:numPr>
          <w:ilvl w:val="1"/>
          <w:numId w:val="11"/>
        </w:numPr>
        <w:rPr>
          <w:bCs/>
          <w:sz w:val="28"/>
          <w:szCs w:val="28"/>
        </w:rPr>
      </w:pPr>
      <w:r w:rsidRPr="0027559E">
        <w:rPr>
          <w:bCs/>
          <w:sz w:val="28"/>
          <w:szCs w:val="28"/>
        </w:rPr>
        <w:t>Responding to a Data Breach</w:t>
      </w:r>
    </w:p>
    <w:p w14:paraId="21F45BBD" w14:textId="77777777" w:rsidR="008668E4" w:rsidRPr="008668E4" w:rsidRDefault="0076406B" w:rsidP="008668E4">
      <w:pPr>
        <w:pStyle w:val="CUNumber2"/>
        <w:widowControl w:val="0"/>
        <w:numPr>
          <w:ilvl w:val="0"/>
          <w:numId w:val="0"/>
        </w:numPr>
        <w:ind w:left="964" w:hanging="964"/>
        <w:rPr>
          <w:b w:val="0"/>
          <w:color w:val="000000" w:themeColor="text1"/>
          <w:sz w:val="22"/>
        </w:rPr>
      </w:pPr>
      <w:r w:rsidRPr="008F4A4D">
        <w:rPr>
          <w:b w:val="0"/>
          <w:color w:val="000000" w:themeColor="text1"/>
          <w:sz w:val="22"/>
        </w:rPr>
        <w:t>The department will follow a six-stage process to respond to data breaches:</w:t>
      </w:r>
    </w:p>
    <w:p w14:paraId="3670142A" w14:textId="77777777" w:rsidR="00EA7285" w:rsidRPr="008668E4" w:rsidRDefault="0076406B" w:rsidP="006719AF">
      <w:pPr>
        <w:pStyle w:val="CUNumber2"/>
        <w:widowControl w:val="0"/>
        <w:numPr>
          <w:ilvl w:val="2"/>
          <w:numId w:val="11"/>
        </w:numPr>
        <w:spacing w:after="120"/>
        <w:rPr>
          <w:b w:val="0"/>
          <w:bCs/>
          <w:color w:val="2C6969" w:themeColor="accent5" w:themeShade="80"/>
          <w:sz w:val="24"/>
          <w:szCs w:val="24"/>
        </w:rPr>
      </w:pPr>
      <w:r w:rsidRPr="008668E4">
        <w:rPr>
          <w:b w:val="0"/>
          <w:bCs/>
          <w:color w:val="2C6969" w:themeColor="accent5" w:themeShade="80"/>
          <w:sz w:val="24"/>
          <w:szCs w:val="24"/>
        </w:rPr>
        <w:t>Stage 1: Preparation</w:t>
      </w:r>
    </w:p>
    <w:p w14:paraId="04C25312" w14:textId="77777777" w:rsidR="008668E4" w:rsidRPr="0027559E" w:rsidRDefault="0076406B" w:rsidP="006719AF">
      <w:pPr>
        <w:pStyle w:val="CUNumber2"/>
        <w:widowControl w:val="0"/>
        <w:numPr>
          <w:ilvl w:val="0"/>
          <w:numId w:val="12"/>
        </w:numPr>
        <w:spacing w:after="120"/>
        <w:ind w:left="709"/>
        <w:rPr>
          <w:b w:val="0"/>
          <w:sz w:val="22"/>
          <w:szCs w:val="24"/>
        </w:rPr>
      </w:pPr>
      <w:r w:rsidRPr="0027559E">
        <w:rPr>
          <w:b w:val="0"/>
          <w:sz w:val="22"/>
          <w:szCs w:val="24"/>
        </w:rPr>
        <w:t>Maintain an up-to-date Data Breach Response Plan</w:t>
      </w:r>
      <w:r w:rsidR="00A117F8">
        <w:rPr>
          <w:b w:val="0"/>
          <w:sz w:val="22"/>
          <w:szCs w:val="24"/>
        </w:rPr>
        <w:t>.</w:t>
      </w:r>
    </w:p>
    <w:p w14:paraId="2DF99BC7" w14:textId="77777777" w:rsidR="008668E4" w:rsidRPr="0027559E" w:rsidRDefault="0076406B" w:rsidP="006719AF">
      <w:pPr>
        <w:pStyle w:val="CUNumber2"/>
        <w:widowControl w:val="0"/>
        <w:numPr>
          <w:ilvl w:val="0"/>
          <w:numId w:val="12"/>
        </w:numPr>
        <w:spacing w:after="120"/>
        <w:ind w:left="709"/>
        <w:rPr>
          <w:b w:val="0"/>
          <w:sz w:val="22"/>
          <w:szCs w:val="24"/>
        </w:rPr>
      </w:pPr>
      <w:r w:rsidRPr="0027559E">
        <w:rPr>
          <w:b w:val="0"/>
          <w:sz w:val="22"/>
          <w:szCs w:val="24"/>
        </w:rPr>
        <w:t>Conduct regular training for employees on data breach prevention and response.</w:t>
      </w:r>
    </w:p>
    <w:p w14:paraId="5BD9EAA5" w14:textId="77777777" w:rsidR="008668E4" w:rsidRPr="003B5213" w:rsidRDefault="0076406B" w:rsidP="006719AF">
      <w:pPr>
        <w:pStyle w:val="CUNumber2"/>
        <w:widowControl w:val="0"/>
        <w:numPr>
          <w:ilvl w:val="0"/>
          <w:numId w:val="12"/>
        </w:numPr>
        <w:spacing w:after="0"/>
        <w:ind w:left="709"/>
        <w:rPr>
          <w:b w:val="0"/>
          <w:bCs/>
          <w:sz w:val="24"/>
          <w:szCs w:val="28"/>
        </w:rPr>
      </w:pPr>
      <w:r w:rsidRPr="0027559E">
        <w:rPr>
          <w:b w:val="0"/>
          <w:bCs/>
          <w:sz w:val="22"/>
          <w:szCs w:val="24"/>
        </w:rPr>
        <w:t>Ensure robust security measures are in place, including encryption, access controls, and regular audits.</w:t>
      </w:r>
      <w:r w:rsidRPr="008B4059">
        <w:rPr>
          <w:b w:val="0"/>
          <w:bCs/>
          <w:sz w:val="22"/>
          <w:szCs w:val="24"/>
        </w:rPr>
        <w:br w:type="page"/>
      </w:r>
    </w:p>
    <w:p w14:paraId="520BB579" w14:textId="77777777" w:rsidR="00EA7285" w:rsidRPr="003B5213" w:rsidRDefault="0076406B" w:rsidP="006719AF">
      <w:pPr>
        <w:pStyle w:val="CUNumber2"/>
        <w:widowControl w:val="0"/>
        <w:numPr>
          <w:ilvl w:val="2"/>
          <w:numId w:val="11"/>
        </w:numPr>
        <w:spacing w:after="120"/>
        <w:rPr>
          <w:b w:val="0"/>
          <w:bCs/>
          <w:color w:val="2C6969" w:themeColor="accent5" w:themeShade="80"/>
          <w:sz w:val="24"/>
          <w:szCs w:val="24"/>
        </w:rPr>
      </w:pPr>
      <w:r w:rsidRPr="003B5213">
        <w:rPr>
          <w:b w:val="0"/>
          <w:bCs/>
          <w:color w:val="2C6969" w:themeColor="accent5" w:themeShade="80"/>
          <w:sz w:val="24"/>
          <w:szCs w:val="24"/>
        </w:rPr>
        <w:lastRenderedPageBreak/>
        <w:t xml:space="preserve">Stage 2: Identification </w:t>
      </w:r>
    </w:p>
    <w:p w14:paraId="263DD4A0" w14:textId="77777777" w:rsidR="008668E4" w:rsidRPr="0027559E" w:rsidRDefault="0076406B" w:rsidP="006719AF">
      <w:pPr>
        <w:pStyle w:val="CUNumber2"/>
        <w:widowControl w:val="0"/>
        <w:numPr>
          <w:ilvl w:val="0"/>
          <w:numId w:val="13"/>
        </w:numPr>
        <w:spacing w:after="120"/>
        <w:ind w:left="709"/>
        <w:rPr>
          <w:b w:val="0"/>
          <w:color w:val="000000" w:themeColor="text1"/>
          <w:sz w:val="22"/>
        </w:rPr>
      </w:pPr>
      <w:r w:rsidRPr="0027559E">
        <w:rPr>
          <w:b w:val="0"/>
          <w:color w:val="000000" w:themeColor="text1"/>
          <w:sz w:val="22"/>
        </w:rPr>
        <w:t xml:space="preserve">Identify and report suspected data breaches immediately to the </w:t>
      </w:r>
      <w:r w:rsidR="006300A9">
        <w:rPr>
          <w:b w:val="0"/>
          <w:color w:val="000000" w:themeColor="text1"/>
          <w:sz w:val="22"/>
        </w:rPr>
        <w:t>department</w:t>
      </w:r>
      <w:r w:rsidRPr="0027559E">
        <w:rPr>
          <w:b w:val="0"/>
          <w:color w:val="000000" w:themeColor="text1"/>
          <w:sz w:val="22"/>
        </w:rPr>
        <w:t>’s I</w:t>
      </w:r>
      <w:r w:rsidR="006300A9">
        <w:rPr>
          <w:b w:val="0"/>
          <w:color w:val="000000" w:themeColor="text1"/>
          <w:sz w:val="22"/>
        </w:rPr>
        <w:t>nformation Privacy and Governance</w:t>
      </w:r>
      <w:r w:rsidRPr="0027559E">
        <w:rPr>
          <w:b w:val="0"/>
          <w:color w:val="000000" w:themeColor="text1"/>
          <w:sz w:val="22"/>
        </w:rPr>
        <w:t xml:space="preserve"> team.</w:t>
      </w:r>
      <w:r w:rsidR="00A117F8">
        <w:rPr>
          <w:b w:val="0"/>
          <w:color w:val="000000" w:themeColor="text1"/>
          <w:sz w:val="22"/>
        </w:rPr>
        <w:t xml:space="preserve"> I</w:t>
      </w:r>
      <w:r w:rsidR="00A117F8">
        <w:rPr>
          <w:b w:val="0"/>
          <w:color w:val="000000" w:themeColor="text1"/>
          <w:sz w:val="22"/>
          <w:szCs w:val="24"/>
        </w:rPr>
        <w:t>nformation security incidents must also be referred to the Service Desk or the Information Security team,</w:t>
      </w:r>
    </w:p>
    <w:p w14:paraId="2D12C6A8" w14:textId="77777777" w:rsidR="008668E4" w:rsidRPr="0027559E" w:rsidRDefault="0076406B" w:rsidP="006719AF">
      <w:pPr>
        <w:pStyle w:val="CUNumber2"/>
        <w:widowControl w:val="0"/>
        <w:numPr>
          <w:ilvl w:val="0"/>
          <w:numId w:val="13"/>
        </w:numPr>
        <w:spacing w:after="120"/>
        <w:ind w:left="709"/>
        <w:rPr>
          <w:b w:val="0"/>
          <w:color w:val="000000" w:themeColor="text1"/>
          <w:sz w:val="22"/>
        </w:rPr>
      </w:pPr>
      <w:r w:rsidRPr="0027559E">
        <w:rPr>
          <w:b w:val="0"/>
          <w:color w:val="000000" w:themeColor="text1"/>
          <w:sz w:val="22"/>
        </w:rPr>
        <w:t>Conduct an initial assessment to determine whether a data breach has occurred.</w:t>
      </w:r>
    </w:p>
    <w:p w14:paraId="445BEE47" w14:textId="77777777" w:rsidR="008668E4" w:rsidRDefault="0076406B" w:rsidP="006719AF">
      <w:pPr>
        <w:pStyle w:val="CUNumber2"/>
        <w:widowControl w:val="0"/>
        <w:numPr>
          <w:ilvl w:val="0"/>
          <w:numId w:val="13"/>
        </w:numPr>
        <w:spacing w:after="0"/>
        <w:ind w:left="709" w:hanging="357"/>
        <w:rPr>
          <w:b w:val="0"/>
          <w:color w:val="000000" w:themeColor="text1"/>
          <w:sz w:val="22"/>
        </w:rPr>
      </w:pPr>
      <w:r w:rsidRPr="0027559E">
        <w:rPr>
          <w:b w:val="0"/>
          <w:color w:val="000000" w:themeColor="text1"/>
          <w:sz w:val="22"/>
        </w:rPr>
        <w:t>Document the details of the incident, including the date, time, and nature of the breach.</w:t>
      </w:r>
    </w:p>
    <w:p w14:paraId="15D0EC11" w14:textId="77777777" w:rsidR="008668E4" w:rsidRPr="0027559E" w:rsidRDefault="008668E4" w:rsidP="008668E4">
      <w:pPr>
        <w:pStyle w:val="CUNumber2"/>
        <w:widowControl w:val="0"/>
        <w:numPr>
          <w:ilvl w:val="0"/>
          <w:numId w:val="0"/>
        </w:numPr>
        <w:spacing w:after="120"/>
        <w:ind w:left="964" w:hanging="964"/>
        <w:rPr>
          <w:b w:val="0"/>
          <w:color w:val="000000" w:themeColor="text1"/>
          <w:sz w:val="22"/>
        </w:rPr>
      </w:pPr>
    </w:p>
    <w:p w14:paraId="0AFD0C97" w14:textId="77777777" w:rsidR="008668E4" w:rsidRPr="008668E4" w:rsidRDefault="0076406B" w:rsidP="006719AF">
      <w:pPr>
        <w:pStyle w:val="CUNumber2"/>
        <w:widowControl w:val="0"/>
        <w:numPr>
          <w:ilvl w:val="2"/>
          <w:numId w:val="11"/>
        </w:numPr>
        <w:spacing w:after="120"/>
        <w:rPr>
          <w:b w:val="0"/>
          <w:bCs/>
          <w:color w:val="2C6969" w:themeColor="accent5" w:themeShade="80"/>
          <w:sz w:val="24"/>
          <w:szCs w:val="24"/>
        </w:rPr>
      </w:pPr>
      <w:r w:rsidRPr="008668E4">
        <w:rPr>
          <w:b w:val="0"/>
          <w:bCs/>
          <w:color w:val="2C6969" w:themeColor="accent5" w:themeShade="80"/>
          <w:sz w:val="24"/>
          <w:szCs w:val="24"/>
        </w:rPr>
        <w:t>Stage 3: Containment and mitigation</w:t>
      </w:r>
    </w:p>
    <w:p w14:paraId="28D8AA1D" w14:textId="77777777" w:rsidR="008668E4" w:rsidRPr="0027559E" w:rsidRDefault="0076406B" w:rsidP="006719AF">
      <w:pPr>
        <w:pStyle w:val="CUNumber2"/>
        <w:widowControl w:val="0"/>
        <w:numPr>
          <w:ilvl w:val="0"/>
          <w:numId w:val="14"/>
        </w:numPr>
        <w:spacing w:after="120"/>
        <w:ind w:left="709"/>
        <w:rPr>
          <w:b w:val="0"/>
          <w:color w:val="000000" w:themeColor="text1"/>
          <w:sz w:val="22"/>
        </w:rPr>
      </w:pPr>
      <w:r w:rsidRPr="0027559E">
        <w:rPr>
          <w:b w:val="0"/>
          <w:color w:val="000000" w:themeColor="text1"/>
          <w:sz w:val="22"/>
        </w:rPr>
        <w:t>Take immediate steps to contain the breach and prevent further unauthorised access or disclosure.</w:t>
      </w:r>
    </w:p>
    <w:p w14:paraId="1B02E94A" w14:textId="77777777" w:rsidR="008668E4" w:rsidRPr="00EA7285" w:rsidRDefault="0076406B" w:rsidP="006719AF">
      <w:pPr>
        <w:pStyle w:val="CUNumber2"/>
        <w:widowControl w:val="0"/>
        <w:numPr>
          <w:ilvl w:val="0"/>
          <w:numId w:val="14"/>
        </w:numPr>
        <w:spacing w:after="120"/>
        <w:ind w:left="709"/>
        <w:rPr>
          <w:b w:val="0"/>
          <w:color w:val="000000" w:themeColor="text1"/>
          <w:sz w:val="22"/>
        </w:rPr>
      </w:pPr>
      <w:r w:rsidRPr="0027559E">
        <w:rPr>
          <w:b w:val="0"/>
          <w:color w:val="000000" w:themeColor="text1"/>
          <w:sz w:val="22"/>
        </w:rPr>
        <w:t>Implement measures to mitigate harm.</w:t>
      </w:r>
    </w:p>
    <w:p w14:paraId="59BC6BB0" w14:textId="77777777" w:rsidR="008668E4" w:rsidRPr="008668E4" w:rsidRDefault="008668E4" w:rsidP="008668E4">
      <w:pPr>
        <w:pStyle w:val="CUNumber2"/>
        <w:widowControl w:val="0"/>
        <w:numPr>
          <w:ilvl w:val="0"/>
          <w:numId w:val="0"/>
        </w:numPr>
        <w:spacing w:after="0"/>
        <w:rPr>
          <w:b w:val="0"/>
          <w:bCs/>
          <w:color w:val="2C6969" w:themeColor="accent5" w:themeShade="80"/>
          <w:sz w:val="22"/>
        </w:rPr>
      </w:pPr>
    </w:p>
    <w:p w14:paraId="2C7C146F" w14:textId="77777777" w:rsidR="008668E4" w:rsidRPr="008668E4" w:rsidRDefault="0076406B" w:rsidP="006719AF">
      <w:pPr>
        <w:pStyle w:val="CUNumber2"/>
        <w:widowControl w:val="0"/>
        <w:numPr>
          <w:ilvl w:val="2"/>
          <w:numId w:val="11"/>
        </w:numPr>
        <w:spacing w:after="120"/>
        <w:rPr>
          <w:b w:val="0"/>
          <w:bCs/>
          <w:color w:val="2C6969" w:themeColor="accent5" w:themeShade="80"/>
          <w:sz w:val="24"/>
          <w:szCs w:val="24"/>
        </w:rPr>
      </w:pPr>
      <w:r w:rsidRPr="008668E4">
        <w:rPr>
          <w:b w:val="0"/>
          <w:bCs/>
          <w:color w:val="2C6969" w:themeColor="accent5" w:themeShade="80"/>
          <w:sz w:val="24"/>
          <w:szCs w:val="24"/>
        </w:rPr>
        <w:t>Stage 4: Assessment</w:t>
      </w:r>
    </w:p>
    <w:p w14:paraId="2F28A378" w14:textId="77777777" w:rsidR="008668E4" w:rsidRPr="0027559E" w:rsidRDefault="0076406B" w:rsidP="006719AF">
      <w:pPr>
        <w:pStyle w:val="CUNumber2"/>
        <w:widowControl w:val="0"/>
        <w:numPr>
          <w:ilvl w:val="0"/>
          <w:numId w:val="8"/>
        </w:numPr>
        <w:spacing w:after="120"/>
        <w:rPr>
          <w:b w:val="0"/>
          <w:color w:val="000000" w:themeColor="text1"/>
          <w:sz w:val="22"/>
        </w:rPr>
      </w:pPr>
      <w:r w:rsidRPr="0027559E">
        <w:rPr>
          <w:b w:val="0"/>
          <w:color w:val="000000" w:themeColor="text1"/>
          <w:sz w:val="22"/>
        </w:rPr>
        <w:t>Assess the scope and impact of the breach, including:</w:t>
      </w:r>
    </w:p>
    <w:p w14:paraId="4513EE76" w14:textId="77777777" w:rsidR="008668E4" w:rsidRPr="0027559E" w:rsidRDefault="0076406B" w:rsidP="006719AF">
      <w:pPr>
        <w:pStyle w:val="CUNumber2"/>
        <w:widowControl w:val="0"/>
        <w:numPr>
          <w:ilvl w:val="0"/>
          <w:numId w:val="18"/>
        </w:numPr>
        <w:spacing w:after="120"/>
        <w:rPr>
          <w:b w:val="0"/>
          <w:color w:val="000000" w:themeColor="text1"/>
          <w:sz w:val="22"/>
        </w:rPr>
      </w:pPr>
      <w:r>
        <w:rPr>
          <w:b w:val="0"/>
          <w:color w:val="000000" w:themeColor="text1"/>
          <w:sz w:val="22"/>
        </w:rPr>
        <w:t>t</w:t>
      </w:r>
      <w:r w:rsidRPr="0027559E">
        <w:rPr>
          <w:b w:val="0"/>
          <w:color w:val="000000" w:themeColor="text1"/>
          <w:sz w:val="22"/>
        </w:rPr>
        <w:t>he type of data involved</w:t>
      </w:r>
    </w:p>
    <w:p w14:paraId="28B003BA" w14:textId="77777777" w:rsidR="008668E4" w:rsidRPr="0027559E" w:rsidRDefault="0076406B" w:rsidP="006719AF">
      <w:pPr>
        <w:pStyle w:val="CUNumber2"/>
        <w:widowControl w:val="0"/>
        <w:numPr>
          <w:ilvl w:val="0"/>
          <w:numId w:val="18"/>
        </w:numPr>
        <w:spacing w:after="120"/>
        <w:rPr>
          <w:b w:val="0"/>
          <w:color w:val="000000" w:themeColor="text1"/>
          <w:sz w:val="22"/>
        </w:rPr>
      </w:pPr>
      <w:r>
        <w:rPr>
          <w:b w:val="0"/>
          <w:color w:val="000000" w:themeColor="text1"/>
          <w:sz w:val="22"/>
        </w:rPr>
        <w:t>t</w:t>
      </w:r>
      <w:r w:rsidRPr="0027559E">
        <w:rPr>
          <w:b w:val="0"/>
          <w:color w:val="000000" w:themeColor="text1"/>
          <w:sz w:val="22"/>
        </w:rPr>
        <w:t>he number of individuals affected</w:t>
      </w:r>
      <w:r>
        <w:rPr>
          <w:b w:val="0"/>
          <w:color w:val="000000" w:themeColor="text1"/>
          <w:sz w:val="22"/>
        </w:rPr>
        <w:t>, and</w:t>
      </w:r>
    </w:p>
    <w:p w14:paraId="038BCEC4" w14:textId="77777777" w:rsidR="008668E4" w:rsidRDefault="0076406B" w:rsidP="006719AF">
      <w:pPr>
        <w:pStyle w:val="CUNumber2"/>
        <w:widowControl w:val="0"/>
        <w:numPr>
          <w:ilvl w:val="0"/>
          <w:numId w:val="18"/>
        </w:numPr>
        <w:spacing w:after="120"/>
        <w:rPr>
          <w:b w:val="0"/>
          <w:color w:val="000000" w:themeColor="text1"/>
          <w:sz w:val="22"/>
        </w:rPr>
      </w:pPr>
      <w:r>
        <w:rPr>
          <w:b w:val="0"/>
          <w:color w:val="000000" w:themeColor="text1"/>
          <w:sz w:val="22"/>
        </w:rPr>
        <w:t>t</w:t>
      </w:r>
      <w:r w:rsidRPr="0027559E">
        <w:rPr>
          <w:b w:val="0"/>
          <w:color w:val="000000" w:themeColor="text1"/>
          <w:sz w:val="22"/>
        </w:rPr>
        <w:t>he potential for serious harm.</w:t>
      </w:r>
    </w:p>
    <w:p w14:paraId="2587E0AA" w14:textId="77777777" w:rsidR="008668E4" w:rsidRPr="00EA7285" w:rsidRDefault="0076406B" w:rsidP="006719AF">
      <w:pPr>
        <w:pStyle w:val="CUNumber2"/>
        <w:widowControl w:val="0"/>
        <w:numPr>
          <w:ilvl w:val="0"/>
          <w:numId w:val="7"/>
        </w:numPr>
        <w:tabs>
          <w:tab w:val="clear" w:pos="1080"/>
        </w:tabs>
        <w:spacing w:after="120"/>
        <w:ind w:left="709"/>
        <w:rPr>
          <w:b w:val="0"/>
          <w:bCs/>
          <w:color w:val="000000" w:themeColor="text1"/>
          <w:sz w:val="22"/>
        </w:rPr>
      </w:pPr>
      <w:r w:rsidRPr="00EA7285">
        <w:rPr>
          <w:b w:val="0"/>
          <w:bCs/>
          <w:color w:val="000000" w:themeColor="text1"/>
          <w:sz w:val="22"/>
        </w:rPr>
        <w:t xml:space="preserve">Determine whether the breach meets the criteria for an </w:t>
      </w:r>
      <w:r w:rsidRPr="009F5B2A">
        <w:rPr>
          <w:color w:val="000000" w:themeColor="text1"/>
          <w:sz w:val="22"/>
        </w:rPr>
        <w:t>eligible data breach</w:t>
      </w:r>
      <w:r w:rsidRPr="00EA7285">
        <w:rPr>
          <w:b w:val="0"/>
          <w:bCs/>
          <w:color w:val="000000" w:themeColor="text1"/>
          <w:sz w:val="22"/>
        </w:rPr>
        <w:t xml:space="preserve"> under the I</w:t>
      </w:r>
      <w:r w:rsidR="006300A9">
        <w:rPr>
          <w:b w:val="0"/>
          <w:bCs/>
          <w:color w:val="000000" w:themeColor="text1"/>
          <w:sz w:val="22"/>
        </w:rPr>
        <w:t xml:space="preserve">P </w:t>
      </w:r>
      <w:r w:rsidRPr="00EA7285">
        <w:rPr>
          <w:b w:val="0"/>
          <w:bCs/>
          <w:color w:val="000000" w:themeColor="text1"/>
          <w:sz w:val="22"/>
        </w:rPr>
        <w:t xml:space="preserve">Act and the </w:t>
      </w:r>
      <w:r w:rsidR="006300A9">
        <w:rPr>
          <w:b w:val="0"/>
          <w:bCs/>
          <w:color w:val="000000" w:themeColor="text1"/>
          <w:sz w:val="22"/>
        </w:rPr>
        <w:t>Mandatory Data Breach Notification (</w:t>
      </w:r>
      <w:r w:rsidR="006300A9" w:rsidRPr="006300A9">
        <w:rPr>
          <w:color w:val="000000" w:themeColor="text1"/>
          <w:sz w:val="22"/>
        </w:rPr>
        <w:t>MDBN</w:t>
      </w:r>
      <w:r w:rsidR="006300A9">
        <w:rPr>
          <w:b w:val="0"/>
          <w:bCs/>
          <w:color w:val="000000" w:themeColor="text1"/>
          <w:sz w:val="22"/>
        </w:rPr>
        <w:t xml:space="preserve">) </w:t>
      </w:r>
      <w:r w:rsidRPr="00EA7285">
        <w:rPr>
          <w:b w:val="0"/>
          <w:bCs/>
          <w:color w:val="000000" w:themeColor="text1"/>
          <w:sz w:val="22"/>
        </w:rPr>
        <w:t>scheme.</w:t>
      </w:r>
    </w:p>
    <w:p w14:paraId="68C29AB8" w14:textId="77777777" w:rsidR="008668E4" w:rsidRPr="008668E4" w:rsidRDefault="008668E4" w:rsidP="008668E4">
      <w:pPr>
        <w:pStyle w:val="CUNumber2"/>
        <w:widowControl w:val="0"/>
        <w:numPr>
          <w:ilvl w:val="0"/>
          <w:numId w:val="0"/>
        </w:numPr>
        <w:spacing w:after="0"/>
        <w:rPr>
          <w:b w:val="0"/>
          <w:bCs/>
          <w:color w:val="2C6969" w:themeColor="accent5" w:themeShade="80"/>
          <w:sz w:val="22"/>
        </w:rPr>
      </w:pPr>
    </w:p>
    <w:p w14:paraId="0CB67132" w14:textId="77777777" w:rsidR="008668E4" w:rsidRPr="008668E4" w:rsidRDefault="0076406B" w:rsidP="006719AF">
      <w:pPr>
        <w:pStyle w:val="CUNumber2"/>
        <w:widowControl w:val="0"/>
        <w:numPr>
          <w:ilvl w:val="2"/>
          <w:numId w:val="11"/>
        </w:numPr>
        <w:spacing w:after="120"/>
        <w:rPr>
          <w:b w:val="0"/>
          <w:bCs/>
          <w:color w:val="2C6969" w:themeColor="accent5" w:themeShade="80"/>
          <w:sz w:val="24"/>
          <w:szCs w:val="24"/>
        </w:rPr>
      </w:pPr>
      <w:r w:rsidRPr="008668E4">
        <w:rPr>
          <w:b w:val="0"/>
          <w:bCs/>
          <w:color w:val="2C6969" w:themeColor="accent5" w:themeShade="80"/>
          <w:sz w:val="24"/>
          <w:szCs w:val="24"/>
        </w:rPr>
        <w:t>Stage 5: Notification</w:t>
      </w:r>
    </w:p>
    <w:p w14:paraId="4E21314D" w14:textId="77777777" w:rsidR="008668E4" w:rsidRPr="0027559E" w:rsidRDefault="0076406B" w:rsidP="006719AF">
      <w:pPr>
        <w:pStyle w:val="CUNumber2"/>
        <w:widowControl w:val="0"/>
        <w:numPr>
          <w:ilvl w:val="0"/>
          <w:numId w:val="15"/>
        </w:numPr>
        <w:spacing w:after="120"/>
        <w:ind w:left="709"/>
        <w:rPr>
          <w:b w:val="0"/>
          <w:color w:val="000000" w:themeColor="text1"/>
          <w:sz w:val="22"/>
          <w:szCs w:val="24"/>
        </w:rPr>
      </w:pPr>
      <w:r w:rsidRPr="0027559E">
        <w:rPr>
          <w:b w:val="0"/>
          <w:color w:val="000000" w:themeColor="text1"/>
          <w:sz w:val="22"/>
          <w:szCs w:val="24"/>
        </w:rPr>
        <w:t xml:space="preserve">If the breach is deemed </w:t>
      </w:r>
      <w:r w:rsidR="00A117F8">
        <w:rPr>
          <w:b w:val="0"/>
          <w:color w:val="000000" w:themeColor="text1"/>
          <w:sz w:val="22"/>
          <w:szCs w:val="24"/>
        </w:rPr>
        <w:t xml:space="preserve">to be an </w:t>
      </w:r>
      <w:r w:rsidRPr="0027559E">
        <w:rPr>
          <w:b w:val="0"/>
          <w:color w:val="000000" w:themeColor="text1"/>
          <w:sz w:val="22"/>
          <w:szCs w:val="24"/>
        </w:rPr>
        <w:t>eligible</w:t>
      </w:r>
      <w:r w:rsidR="00A117F8">
        <w:rPr>
          <w:b w:val="0"/>
          <w:color w:val="000000" w:themeColor="text1"/>
          <w:sz w:val="22"/>
          <w:szCs w:val="24"/>
        </w:rPr>
        <w:t xml:space="preserve"> data breach</w:t>
      </w:r>
      <w:r w:rsidRPr="0027559E">
        <w:rPr>
          <w:b w:val="0"/>
          <w:color w:val="000000" w:themeColor="text1"/>
          <w:sz w:val="22"/>
          <w:szCs w:val="24"/>
        </w:rPr>
        <w:t>, notify the Office of the Information Commissioner Queensland (</w:t>
      </w:r>
      <w:r w:rsidRPr="0027559E">
        <w:rPr>
          <w:bCs/>
          <w:color w:val="000000" w:themeColor="text1"/>
          <w:sz w:val="22"/>
          <w:szCs w:val="24"/>
        </w:rPr>
        <w:t>OIC</w:t>
      </w:r>
      <w:r w:rsidRPr="0027559E">
        <w:rPr>
          <w:b w:val="0"/>
          <w:color w:val="000000" w:themeColor="text1"/>
          <w:sz w:val="22"/>
          <w:szCs w:val="24"/>
        </w:rPr>
        <w:t xml:space="preserve">) </w:t>
      </w:r>
      <w:r w:rsidR="00A117F8">
        <w:rPr>
          <w:b w:val="0"/>
          <w:color w:val="000000" w:themeColor="text1"/>
          <w:sz w:val="22"/>
          <w:szCs w:val="24"/>
        </w:rPr>
        <w:t xml:space="preserve">and </w:t>
      </w:r>
      <w:r w:rsidR="00A117F8" w:rsidRPr="0027559E">
        <w:rPr>
          <w:b w:val="0"/>
          <w:color w:val="000000" w:themeColor="text1"/>
          <w:sz w:val="22"/>
          <w:szCs w:val="24"/>
        </w:rPr>
        <w:t xml:space="preserve">affected individuals </w:t>
      </w:r>
      <w:r w:rsidRPr="0027559E">
        <w:rPr>
          <w:b w:val="0"/>
          <w:color w:val="000000" w:themeColor="text1"/>
          <w:sz w:val="22"/>
          <w:szCs w:val="24"/>
        </w:rPr>
        <w:t>as soon as practicable.</w:t>
      </w:r>
    </w:p>
    <w:p w14:paraId="6A6D4245" w14:textId="77777777" w:rsidR="008668E4" w:rsidRDefault="0076406B" w:rsidP="006719AF">
      <w:pPr>
        <w:pStyle w:val="CUNumber2"/>
        <w:widowControl w:val="0"/>
        <w:numPr>
          <w:ilvl w:val="0"/>
          <w:numId w:val="15"/>
        </w:numPr>
        <w:spacing w:after="120"/>
        <w:ind w:left="709"/>
        <w:rPr>
          <w:b w:val="0"/>
          <w:color w:val="000000" w:themeColor="text1"/>
          <w:sz w:val="22"/>
          <w:szCs w:val="24"/>
        </w:rPr>
      </w:pPr>
      <w:r w:rsidRPr="0027559E">
        <w:rPr>
          <w:b w:val="0"/>
          <w:color w:val="000000" w:themeColor="text1"/>
          <w:sz w:val="22"/>
          <w:szCs w:val="24"/>
        </w:rPr>
        <w:t>Notifications must include:</w:t>
      </w:r>
    </w:p>
    <w:p w14:paraId="7C942F19" w14:textId="77777777" w:rsidR="008668E4" w:rsidRDefault="0076406B" w:rsidP="006719AF">
      <w:pPr>
        <w:pStyle w:val="CUNumber2"/>
        <w:widowControl w:val="0"/>
        <w:numPr>
          <w:ilvl w:val="1"/>
          <w:numId w:val="16"/>
        </w:numPr>
        <w:spacing w:after="120"/>
        <w:ind w:left="1134"/>
        <w:rPr>
          <w:b w:val="0"/>
          <w:color w:val="000000" w:themeColor="text1"/>
          <w:sz w:val="22"/>
          <w:szCs w:val="24"/>
        </w:rPr>
      </w:pPr>
      <w:r>
        <w:rPr>
          <w:b w:val="0"/>
          <w:color w:val="000000" w:themeColor="text1"/>
          <w:sz w:val="22"/>
          <w:szCs w:val="24"/>
        </w:rPr>
        <w:t>a</w:t>
      </w:r>
      <w:r w:rsidRPr="0027559E">
        <w:rPr>
          <w:b w:val="0"/>
          <w:color w:val="000000" w:themeColor="text1"/>
          <w:sz w:val="22"/>
          <w:szCs w:val="24"/>
        </w:rPr>
        <w:t xml:space="preserve"> description of the breach</w:t>
      </w:r>
    </w:p>
    <w:p w14:paraId="5BDFD0B6" w14:textId="77777777" w:rsidR="008668E4" w:rsidRDefault="0076406B" w:rsidP="006719AF">
      <w:pPr>
        <w:pStyle w:val="CUNumber2"/>
        <w:widowControl w:val="0"/>
        <w:numPr>
          <w:ilvl w:val="1"/>
          <w:numId w:val="16"/>
        </w:numPr>
        <w:spacing w:after="120"/>
        <w:ind w:left="1134"/>
        <w:rPr>
          <w:b w:val="0"/>
          <w:color w:val="000000" w:themeColor="text1"/>
          <w:sz w:val="22"/>
          <w:szCs w:val="24"/>
        </w:rPr>
      </w:pPr>
      <w:r>
        <w:rPr>
          <w:b w:val="0"/>
          <w:color w:val="000000" w:themeColor="text1"/>
          <w:sz w:val="22"/>
          <w:szCs w:val="24"/>
        </w:rPr>
        <w:t>t</w:t>
      </w:r>
      <w:r w:rsidRPr="0027559E">
        <w:rPr>
          <w:b w:val="0"/>
          <w:color w:val="000000" w:themeColor="text1"/>
          <w:sz w:val="22"/>
          <w:szCs w:val="24"/>
        </w:rPr>
        <w:t>he type of information involved</w:t>
      </w:r>
    </w:p>
    <w:p w14:paraId="3456AF0F" w14:textId="77777777" w:rsidR="008668E4" w:rsidRDefault="0076406B" w:rsidP="006719AF">
      <w:pPr>
        <w:pStyle w:val="CUNumber2"/>
        <w:widowControl w:val="0"/>
        <w:numPr>
          <w:ilvl w:val="1"/>
          <w:numId w:val="16"/>
        </w:numPr>
        <w:spacing w:after="120"/>
        <w:ind w:left="1134"/>
        <w:rPr>
          <w:b w:val="0"/>
          <w:color w:val="000000" w:themeColor="text1"/>
          <w:sz w:val="22"/>
          <w:szCs w:val="24"/>
        </w:rPr>
      </w:pPr>
      <w:r>
        <w:rPr>
          <w:b w:val="0"/>
          <w:color w:val="000000" w:themeColor="text1"/>
          <w:sz w:val="22"/>
          <w:szCs w:val="24"/>
        </w:rPr>
        <w:t>s</w:t>
      </w:r>
      <w:r w:rsidRPr="0027559E">
        <w:rPr>
          <w:b w:val="0"/>
          <w:color w:val="000000" w:themeColor="text1"/>
          <w:sz w:val="22"/>
          <w:szCs w:val="24"/>
        </w:rPr>
        <w:t>teps individuals can take to protect themselves</w:t>
      </w:r>
    </w:p>
    <w:p w14:paraId="7C869D39" w14:textId="77777777" w:rsidR="008668E4" w:rsidRDefault="0076406B" w:rsidP="006719AF">
      <w:pPr>
        <w:pStyle w:val="CUNumber2"/>
        <w:widowControl w:val="0"/>
        <w:numPr>
          <w:ilvl w:val="1"/>
          <w:numId w:val="16"/>
        </w:numPr>
        <w:spacing w:after="120"/>
        <w:ind w:left="1134"/>
        <w:rPr>
          <w:b w:val="0"/>
          <w:color w:val="000000" w:themeColor="text1"/>
          <w:sz w:val="22"/>
          <w:szCs w:val="24"/>
        </w:rPr>
      </w:pPr>
      <w:r>
        <w:rPr>
          <w:b w:val="0"/>
          <w:color w:val="000000" w:themeColor="text1"/>
          <w:sz w:val="22"/>
          <w:szCs w:val="24"/>
        </w:rPr>
        <w:t>c</w:t>
      </w:r>
      <w:r w:rsidRPr="0027559E">
        <w:rPr>
          <w:b w:val="0"/>
          <w:color w:val="000000" w:themeColor="text1"/>
          <w:sz w:val="22"/>
          <w:szCs w:val="24"/>
        </w:rPr>
        <w:t>ontact details for further information</w:t>
      </w:r>
      <w:r>
        <w:rPr>
          <w:b w:val="0"/>
          <w:color w:val="000000" w:themeColor="text1"/>
          <w:sz w:val="22"/>
          <w:szCs w:val="24"/>
        </w:rPr>
        <w:t>, and</w:t>
      </w:r>
    </w:p>
    <w:p w14:paraId="534A9E8C" w14:textId="77777777" w:rsidR="008668E4" w:rsidRPr="0027559E" w:rsidRDefault="0076406B" w:rsidP="006719AF">
      <w:pPr>
        <w:pStyle w:val="CUNumber2"/>
        <w:widowControl w:val="0"/>
        <w:numPr>
          <w:ilvl w:val="1"/>
          <w:numId w:val="16"/>
        </w:numPr>
        <w:spacing w:after="0"/>
        <w:ind w:left="1134"/>
        <w:rPr>
          <w:b w:val="0"/>
          <w:color w:val="000000" w:themeColor="text1"/>
          <w:sz w:val="22"/>
          <w:szCs w:val="24"/>
        </w:rPr>
      </w:pPr>
      <w:r>
        <w:rPr>
          <w:b w:val="0"/>
          <w:color w:val="000000" w:themeColor="text1"/>
          <w:sz w:val="22"/>
          <w:szCs w:val="24"/>
        </w:rPr>
        <w:t>i</w:t>
      </w:r>
      <w:r w:rsidRPr="0027559E">
        <w:rPr>
          <w:b w:val="0"/>
          <w:color w:val="000000" w:themeColor="text1"/>
          <w:sz w:val="22"/>
          <w:szCs w:val="24"/>
        </w:rPr>
        <w:t>f notification is not required, document the reasons for this decision.</w:t>
      </w:r>
    </w:p>
    <w:p w14:paraId="70B15106" w14:textId="77777777" w:rsidR="008668E4" w:rsidRPr="008668E4" w:rsidRDefault="008668E4" w:rsidP="008668E4">
      <w:pPr>
        <w:pStyle w:val="CUNumber2"/>
        <w:widowControl w:val="0"/>
        <w:numPr>
          <w:ilvl w:val="0"/>
          <w:numId w:val="0"/>
        </w:numPr>
        <w:spacing w:after="0"/>
        <w:rPr>
          <w:b w:val="0"/>
          <w:bCs/>
          <w:color w:val="2C6969" w:themeColor="accent5" w:themeShade="80"/>
          <w:sz w:val="24"/>
          <w:szCs w:val="24"/>
        </w:rPr>
      </w:pPr>
    </w:p>
    <w:p w14:paraId="5D7E5029" w14:textId="77777777" w:rsidR="00EA7285" w:rsidRPr="008668E4" w:rsidRDefault="0076406B" w:rsidP="006719AF">
      <w:pPr>
        <w:pStyle w:val="CUNumber2"/>
        <w:widowControl w:val="0"/>
        <w:numPr>
          <w:ilvl w:val="2"/>
          <w:numId w:val="11"/>
        </w:numPr>
        <w:spacing w:after="120"/>
        <w:rPr>
          <w:b w:val="0"/>
          <w:bCs/>
          <w:color w:val="2C6969" w:themeColor="accent5" w:themeShade="80"/>
          <w:sz w:val="24"/>
          <w:szCs w:val="24"/>
        </w:rPr>
      </w:pPr>
      <w:r w:rsidRPr="00072997">
        <w:rPr>
          <w:b w:val="0"/>
          <w:bCs/>
          <w:color w:val="2C6969" w:themeColor="accent5" w:themeShade="80"/>
          <w:sz w:val="24"/>
          <w:szCs w:val="24"/>
        </w:rPr>
        <w:t xml:space="preserve">Stage 6: </w:t>
      </w:r>
      <w:r w:rsidR="00072997" w:rsidRPr="00072997">
        <w:rPr>
          <w:b w:val="0"/>
          <w:bCs/>
          <w:color w:val="2C6969" w:themeColor="accent5" w:themeShade="80"/>
          <w:sz w:val="24"/>
          <w:szCs w:val="24"/>
        </w:rPr>
        <w:t>Post data breach review</w:t>
      </w:r>
      <w:r w:rsidR="00072997" w:rsidRPr="008668E4">
        <w:rPr>
          <w:b w:val="0"/>
          <w:bCs/>
          <w:color w:val="2C6969" w:themeColor="accent5" w:themeShade="80"/>
          <w:sz w:val="24"/>
          <w:szCs w:val="24"/>
        </w:rPr>
        <w:t xml:space="preserve"> and remediation </w:t>
      </w:r>
    </w:p>
    <w:p w14:paraId="51D60DD5" w14:textId="77777777" w:rsidR="00EA7285" w:rsidRPr="0027559E" w:rsidRDefault="0076406B" w:rsidP="006719AF">
      <w:pPr>
        <w:pStyle w:val="CUNumber2"/>
        <w:widowControl w:val="0"/>
        <w:numPr>
          <w:ilvl w:val="1"/>
          <w:numId w:val="9"/>
        </w:numPr>
        <w:spacing w:after="120"/>
        <w:ind w:left="709"/>
        <w:rPr>
          <w:b w:val="0"/>
          <w:color w:val="000000" w:themeColor="text1"/>
          <w:sz w:val="22"/>
        </w:rPr>
      </w:pPr>
      <w:r w:rsidRPr="0027559E">
        <w:rPr>
          <w:b w:val="0"/>
          <w:color w:val="000000" w:themeColor="text1"/>
          <w:sz w:val="22"/>
        </w:rPr>
        <w:t>Conduct a post-incident review to identify the root cause of the breach and evaluate the effectiveness of the response.</w:t>
      </w:r>
    </w:p>
    <w:p w14:paraId="1BDD9586" w14:textId="77777777" w:rsidR="00EA7285" w:rsidRPr="0027559E" w:rsidRDefault="0076406B" w:rsidP="006719AF">
      <w:pPr>
        <w:pStyle w:val="CUNumber2"/>
        <w:widowControl w:val="0"/>
        <w:numPr>
          <w:ilvl w:val="1"/>
          <w:numId w:val="9"/>
        </w:numPr>
        <w:spacing w:after="0"/>
        <w:ind w:left="709"/>
        <w:rPr>
          <w:b w:val="0"/>
          <w:color w:val="000000" w:themeColor="text1"/>
          <w:sz w:val="22"/>
        </w:rPr>
      </w:pPr>
      <w:r w:rsidRPr="0027559E">
        <w:rPr>
          <w:b w:val="0"/>
          <w:color w:val="000000" w:themeColor="text1"/>
          <w:sz w:val="22"/>
        </w:rPr>
        <w:t>Implement corrective actions to prevent future breaches, such as updating policies, improving security measures, or providing additional training.</w:t>
      </w:r>
    </w:p>
    <w:p w14:paraId="1EBDF3CC" w14:textId="77777777" w:rsidR="00EA7285" w:rsidRPr="00EA7285" w:rsidRDefault="00EA7285" w:rsidP="008B4059">
      <w:pPr>
        <w:spacing w:after="0"/>
      </w:pPr>
    </w:p>
    <w:p w14:paraId="783EA2D6" w14:textId="77777777" w:rsidR="008668E4" w:rsidRDefault="0076406B" w:rsidP="006719AF">
      <w:pPr>
        <w:pStyle w:val="Heading2"/>
        <w:numPr>
          <w:ilvl w:val="0"/>
          <w:numId w:val="6"/>
        </w:numPr>
      </w:pPr>
      <w:r>
        <w:t xml:space="preserve">Register of eligible </w:t>
      </w:r>
      <w:r w:rsidR="008B4059">
        <w:t>data</w:t>
      </w:r>
      <w:r>
        <w:t xml:space="preserve"> breaches</w:t>
      </w:r>
    </w:p>
    <w:p w14:paraId="15F9E1C2" w14:textId="77777777" w:rsidR="008668E4" w:rsidRDefault="0076406B" w:rsidP="008668E4">
      <w:pPr>
        <w:pStyle w:val="CUNumber1"/>
        <w:numPr>
          <w:ilvl w:val="0"/>
          <w:numId w:val="0"/>
        </w:numPr>
        <w:spacing w:after="120"/>
        <w:rPr>
          <w:b w:val="0"/>
          <w:bCs w:val="0"/>
          <w:color w:val="auto"/>
          <w:sz w:val="22"/>
        </w:rPr>
      </w:pPr>
      <w:r>
        <w:rPr>
          <w:b w:val="0"/>
          <w:bCs w:val="0"/>
          <w:color w:val="auto"/>
          <w:sz w:val="22"/>
        </w:rPr>
        <w:t>The department will maintain an internal Register of Eligible Data Breaches, which will include:</w:t>
      </w:r>
    </w:p>
    <w:p w14:paraId="2E568640" w14:textId="77777777" w:rsidR="008668E4" w:rsidRDefault="0076406B" w:rsidP="006719AF">
      <w:pPr>
        <w:pStyle w:val="CUNumber1"/>
        <w:numPr>
          <w:ilvl w:val="0"/>
          <w:numId w:val="10"/>
        </w:numPr>
        <w:spacing w:after="0"/>
        <w:ind w:left="709"/>
        <w:rPr>
          <w:b w:val="0"/>
          <w:bCs w:val="0"/>
          <w:color w:val="auto"/>
          <w:sz w:val="22"/>
        </w:rPr>
      </w:pPr>
      <w:r>
        <w:rPr>
          <w:b w:val="0"/>
          <w:bCs w:val="0"/>
          <w:color w:val="auto"/>
          <w:sz w:val="22"/>
        </w:rPr>
        <w:t>details of the breach (eg date, nature and scope)</w:t>
      </w:r>
    </w:p>
    <w:p w14:paraId="4869169F" w14:textId="77777777" w:rsidR="008668E4" w:rsidRDefault="0076406B" w:rsidP="006719AF">
      <w:pPr>
        <w:pStyle w:val="CUNumber1"/>
        <w:numPr>
          <w:ilvl w:val="0"/>
          <w:numId w:val="10"/>
        </w:numPr>
        <w:spacing w:after="0"/>
        <w:ind w:left="709"/>
        <w:rPr>
          <w:b w:val="0"/>
          <w:bCs w:val="0"/>
          <w:color w:val="auto"/>
          <w:sz w:val="22"/>
        </w:rPr>
      </w:pPr>
      <w:r>
        <w:rPr>
          <w:b w:val="0"/>
          <w:bCs w:val="0"/>
          <w:color w:val="auto"/>
          <w:sz w:val="22"/>
        </w:rPr>
        <w:lastRenderedPageBreak/>
        <w:t>actions taken to contain and mitigate the breach</w:t>
      </w:r>
    </w:p>
    <w:p w14:paraId="0295B5A5" w14:textId="77777777" w:rsidR="008668E4" w:rsidRDefault="0076406B" w:rsidP="006719AF">
      <w:pPr>
        <w:pStyle w:val="CUNumber1"/>
        <w:numPr>
          <w:ilvl w:val="0"/>
          <w:numId w:val="10"/>
        </w:numPr>
        <w:spacing w:after="0"/>
        <w:ind w:left="709"/>
        <w:rPr>
          <w:b w:val="0"/>
          <w:bCs w:val="0"/>
          <w:color w:val="auto"/>
          <w:sz w:val="22"/>
        </w:rPr>
      </w:pPr>
      <w:r>
        <w:rPr>
          <w:b w:val="0"/>
          <w:bCs w:val="0"/>
          <w:color w:val="auto"/>
          <w:sz w:val="22"/>
        </w:rPr>
        <w:t>assessment outcomes and notification decisions, and</w:t>
      </w:r>
    </w:p>
    <w:p w14:paraId="4466334A" w14:textId="77777777" w:rsidR="008668E4" w:rsidRDefault="0076406B" w:rsidP="006719AF">
      <w:pPr>
        <w:pStyle w:val="CUNumber1"/>
        <w:numPr>
          <w:ilvl w:val="0"/>
          <w:numId w:val="10"/>
        </w:numPr>
        <w:ind w:left="709"/>
        <w:rPr>
          <w:b w:val="0"/>
          <w:bCs w:val="0"/>
          <w:color w:val="auto"/>
          <w:sz w:val="22"/>
        </w:rPr>
      </w:pPr>
      <w:r>
        <w:rPr>
          <w:b w:val="0"/>
          <w:bCs w:val="0"/>
          <w:color w:val="auto"/>
          <w:sz w:val="22"/>
        </w:rPr>
        <w:t>post-incident review findings and remediation actions.</w:t>
      </w:r>
    </w:p>
    <w:p w14:paraId="1FCA6824" w14:textId="77777777" w:rsidR="008668E4" w:rsidRDefault="0076406B" w:rsidP="008B4059">
      <w:pPr>
        <w:pStyle w:val="CUNumber1"/>
        <w:numPr>
          <w:ilvl w:val="0"/>
          <w:numId w:val="0"/>
        </w:numPr>
        <w:spacing w:after="0"/>
        <w:rPr>
          <w:b w:val="0"/>
          <w:bCs w:val="0"/>
          <w:color w:val="auto"/>
          <w:sz w:val="22"/>
        </w:rPr>
      </w:pPr>
      <w:r>
        <w:rPr>
          <w:b w:val="0"/>
          <w:bCs w:val="0"/>
          <w:color w:val="auto"/>
          <w:sz w:val="22"/>
        </w:rPr>
        <w:t>The department will review and update the Register on a regular basis.</w:t>
      </w:r>
    </w:p>
    <w:p w14:paraId="3309F7C8" w14:textId="77777777" w:rsidR="008B4059" w:rsidRDefault="008B4059" w:rsidP="008B4059">
      <w:pPr>
        <w:pStyle w:val="CUNumber1"/>
        <w:numPr>
          <w:ilvl w:val="0"/>
          <w:numId w:val="0"/>
        </w:numPr>
        <w:spacing w:after="0"/>
        <w:rPr>
          <w:b w:val="0"/>
          <w:bCs w:val="0"/>
          <w:color w:val="auto"/>
          <w:sz w:val="22"/>
        </w:rPr>
      </w:pPr>
    </w:p>
    <w:p w14:paraId="2073912B" w14:textId="77777777" w:rsidR="002B7F61" w:rsidRDefault="0076406B" w:rsidP="00D05B78">
      <w:pPr>
        <w:pStyle w:val="Heading2"/>
        <w:numPr>
          <w:ilvl w:val="0"/>
          <w:numId w:val="6"/>
        </w:numPr>
      </w:pPr>
      <w:r>
        <w:t xml:space="preserve">Recordkeeping </w:t>
      </w:r>
    </w:p>
    <w:p w14:paraId="0C94EC7A" w14:textId="77777777" w:rsidR="007171AC" w:rsidRDefault="0076406B" w:rsidP="008B4059">
      <w:pPr>
        <w:spacing w:after="0"/>
      </w:pPr>
      <w:r>
        <w:t xml:space="preserve">The department </w:t>
      </w:r>
      <w:r w:rsidR="008F4A4D">
        <w:t xml:space="preserve">will </w:t>
      </w:r>
      <w:r>
        <w:t>document its management of</w:t>
      </w:r>
      <w:r w:rsidR="008F4A4D">
        <w:t>,</w:t>
      </w:r>
      <w:r>
        <w:t xml:space="preserve"> and response to</w:t>
      </w:r>
      <w:r w:rsidR="008F4A4D">
        <w:t>,</w:t>
      </w:r>
      <w:r>
        <w:t xml:space="preserve"> actual or suspected data breach</w:t>
      </w:r>
      <w:r w:rsidR="008F4A4D">
        <w:t>es</w:t>
      </w:r>
      <w:r>
        <w:t xml:space="preserve">, in accordance with the </w:t>
      </w:r>
      <w:r>
        <w:rPr>
          <w:i/>
          <w:iCs/>
        </w:rPr>
        <w:t>Public Records Act 20</w:t>
      </w:r>
      <w:r w:rsidR="008F4A4D">
        <w:rPr>
          <w:i/>
          <w:iCs/>
        </w:rPr>
        <w:t>2</w:t>
      </w:r>
      <w:r>
        <w:rPr>
          <w:i/>
          <w:iCs/>
        </w:rPr>
        <w:t>3.</w:t>
      </w:r>
      <w:r w:rsidR="008F4A4D">
        <w:rPr>
          <w:i/>
          <w:iCs/>
        </w:rPr>
        <w:t xml:space="preserve"> </w:t>
      </w:r>
      <w:r w:rsidR="008F4A4D">
        <w:t>Records will include evidence of compliance with this policy and relevant legislation.</w:t>
      </w:r>
    </w:p>
    <w:p w14:paraId="4840AD3B" w14:textId="77777777" w:rsidR="008B4059" w:rsidRPr="008F4A4D" w:rsidRDefault="008B4059" w:rsidP="008B4059">
      <w:pPr>
        <w:spacing w:after="0"/>
      </w:pPr>
    </w:p>
    <w:p w14:paraId="74429103" w14:textId="77777777" w:rsidR="002B7F61" w:rsidRDefault="0076406B" w:rsidP="00D05B78">
      <w:pPr>
        <w:pStyle w:val="Heading2"/>
        <w:numPr>
          <w:ilvl w:val="0"/>
          <w:numId w:val="6"/>
        </w:numPr>
      </w:pPr>
      <w:r>
        <w:t>Related legislation and policies</w:t>
      </w:r>
    </w:p>
    <w:p w14:paraId="38C22577" w14:textId="77777777" w:rsidR="001842D0" w:rsidRDefault="0076406B" w:rsidP="001842D0">
      <w:r>
        <w:t>The department manages data breaches in accordance with:</w:t>
      </w:r>
    </w:p>
    <w:p w14:paraId="0B2405FF" w14:textId="77777777" w:rsidR="006300A9" w:rsidRDefault="0076406B" w:rsidP="006719AF">
      <w:pPr>
        <w:pStyle w:val="ListParagraph"/>
        <w:numPr>
          <w:ilvl w:val="0"/>
          <w:numId w:val="17"/>
        </w:numPr>
        <w:ind w:left="709"/>
      </w:pPr>
      <w:r>
        <w:t>Legislation</w:t>
      </w:r>
      <w:r w:rsidR="00A117F8">
        <w:t xml:space="preserve"> and standards</w:t>
      </w:r>
      <w:r>
        <w:t>:</w:t>
      </w:r>
    </w:p>
    <w:p w14:paraId="0006D138" w14:textId="77777777" w:rsidR="008B4059" w:rsidRDefault="00673A4C" w:rsidP="006719AF">
      <w:pPr>
        <w:pStyle w:val="ListParagraph"/>
        <w:numPr>
          <w:ilvl w:val="1"/>
          <w:numId w:val="17"/>
        </w:numPr>
        <w:ind w:left="1134"/>
      </w:pPr>
      <w:hyperlink r:id="rId8" w:history="1">
        <w:r w:rsidR="00072997" w:rsidRPr="000C7331">
          <w:rPr>
            <w:rStyle w:val="Hyperlink"/>
            <w:i/>
            <w:iCs/>
          </w:rPr>
          <w:t>Information Privacy Act 2009</w:t>
        </w:r>
      </w:hyperlink>
      <w:r w:rsidR="00072997">
        <w:rPr>
          <w:i/>
          <w:iCs/>
        </w:rPr>
        <w:t xml:space="preserve"> </w:t>
      </w:r>
      <w:r w:rsidR="00072997">
        <w:t>(Qld)</w:t>
      </w:r>
    </w:p>
    <w:p w14:paraId="2095130F" w14:textId="77777777" w:rsidR="008B4059" w:rsidRDefault="00673A4C" w:rsidP="006719AF">
      <w:pPr>
        <w:pStyle w:val="ListParagraph"/>
        <w:numPr>
          <w:ilvl w:val="1"/>
          <w:numId w:val="17"/>
        </w:numPr>
        <w:ind w:left="1134"/>
      </w:pPr>
      <w:hyperlink r:id="rId9" w:history="1">
        <w:r w:rsidR="00072997" w:rsidRPr="009F5B2A">
          <w:rPr>
            <w:rStyle w:val="Hyperlink"/>
            <w:i/>
            <w:iCs/>
          </w:rPr>
          <w:t>Public Sector Act 2022</w:t>
        </w:r>
      </w:hyperlink>
      <w:r w:rsidR="00072997">
        <w:t xml:space="preserve"> (Qld)</w:t>
      </w:r>
    </w:p>
    <w:p w14:paraId="1208E565" w14:textId="77777777" w:rsidR="008B4059" w:rsidRDefault="00673A4C" w:rsidP="006719AF">
      <w:pPr>
        <w:pStyle w:val="ListParagraph"/>
        <w:numPr>
          <w:ilvl w:val="1"/>
          <w:numId w:val="17"/>
        </w:numPr>
        <w:ind w:left="1134"/>
      </w:pPr>
      <w:hyperlink r:id="rId10" w:history="1">
        <w:r w:rsidR="00072997" w:rsidRPr="009F5B2A">
          <w:rPr>
            <w:rStyle w:val="Hyperlink"/>
            <w:i/>
            <w:iCs/>
          </w:rPr>
          <w:t>Human Rights Act 2019</w:t>
        </w:r>
      </w:hyperlink>
      <w:r w:rsidR="00072997">
        <w:t xml:space="preserve"> (Qld) </w:t>
      </w:r>
    </w:p>
    <w:p w14:paraId="7A55049E" w14:textId="77777777" w:rsidR="008B4059" w:rsidRDefault="00673A4C" w:rsidP="006719AF">
      <w:pPr>
        <w:pStyle w:val="ListParagraph"/>
        <w:numPr>
          <w:ilvl w:val="1"/>
          <w:numId w:val="17"/>
        </w:numPr>
        <w:ind w:left="1134"/>
      </w:pPr>
      <w:hyperlink r:id="rId11" w:history="1">
        <w:r w:rsidR="00072997" w:rsidRPr="00B705C8">
          <w:rPr>
            <w:rStyle w:val="Hyperlink"/>
          </w:rPr>
          <w:t>Queensland Government Information and Cyber Security Policy</w:t>
        </w:r>
      </w:hyperlink>
      <w:r w:rsidR="00072997" w:rsidRPr="008F4A4D">
        <w:t xml:space="preserve"> (IS18:2025</w:t>
      </w:r>
      <w:r w:rsidR="00072997">
        <w:t>)</w:t>
      </w:r>
    </w:p>
    <w:p w14:paraId="2A9F12B1" w14:textId="77777777" w:rsidR="008B4059" w:rsidRDefault="0076406B" w:rsidP="006719AF">
      <w:pPr>
        <w:pStyle w:val="ListParagraph"/>
        <w:numPr>
          <w:ilvl w:val="1"/>
          <w:numId w:val="17"/>
        </w:numPr>
        <w:spacing w:after="0"/>
        <w:ind w:left="1134"/>
      </w:pPr>
      <w:r w:rsidRPr="008F4A4D">
        <w:t>Cybersecurity laws and regulations applicable to Queensland Government agencies</w:t>
      </w:r>
    </w:p>
    <w:p w14:paraId="339CDC5B" w14:textId="77777777" w:rsidR="008B4059" w:rsidRDefault="008B4059" w:rsidP="008B4059">
      <w:pPr>
        <w:spacing w:after="0"/>
      </w:pPr>
    </w:p>
    <w:p w14:paraId="23BE508C" w14:textId="77777777" w:rsidR="008F4A4D" w:rsidRDefault="0076406B" w:rsidP="006719AF">
      <w:pPr>
        <w:pStyle w:val="ListParagraph"/>
        <w:numPr>
          <w:ilvl w:val="0"/>
          <w:numId w:val="8"/>
        </w:numPr>
      </w:pPr>
      <w:r>
        <w:t>Policy</w:t>
      </w:r>
      <w:r w:rsidR="008B4059">
        <w:t>:</w:t>
      </w:r>
    </w:p>
    <w:p w14:paraId="5724DB42" w14:textId="77777777" w:rsidR="008B4059" w:rsidRDefault="0076406B" w:rsidP="006719AF">
      <w:pPr>
        <w:pStyle w:val="ListParagraph"/>
        <w:numPr>
          <w:ilvl w:val="0"/>
          <w:numId w:val="19"/>
        </w:numPr>
      </w:pPr>
      <w:r>
        <w:t xml:space="preserve">Department of Families, Seniors, Disability Services and Child Safety </w:t>
      </w:r>
      <w:r w:rsidR="00731AAD">
        <w:t>P</w:t>
      </w:r>
      <w:r w:rsidRPr="00731AAD">
        <w:t xml:space="preserve">rivacy </w:t>
      </w:r>
      <w:r w:rsidR="00731AAD">
        <w:t>P</w:t>
      </w:r>
      <w:r w:rsidRPr="00731AAD">
        <w:t>olicy</w:t>
      </w:r>
    </w:p>
    <w:p w14:paraId="3BFC48FF" w14:textId="77777777" w:rsidR="008B4059" w:rsidRDefault="0076406B" w:rsidP="006719AF">
      <w:pPr>
        <w:pStyle w:val="ListParagraph"/>
        <w:numPr>
          <w:ilvl w:val="0"/>
          <w:numId w:val="19"/>
        </w:numPr>
      </w:pPr>
      <w:r>
        <w:t xml:space="preserve">Information </w:t>
      </w:r>
      <w:r w:rsidR="00731AAD">
        <w:t>S</w:t>
      </w:r>
      <w:r>
        <w:t xml:space="preserve">ecurity </w:t>
      </w:r>
      <w:r w:rsidR="00731AAD">
        <w:t>I</w:t>
      </w:r>
      <w:r>
        <w:t xml:space="preserve">ncident </w:t>
      </w:r>
      <w:r w:rsidR="00731AAD">
        <w:t>R</w:t>
      </w:r>
      <w:r>
        <w:t xml:space="preserve">esponse </w:t>
      </w:r>
      <w:r w:rsidR="00731AAD">
        <w:t>P</w:t>
      </w:r>
      <w:r>
        <w:t>lan</w:t>
      </w:r>
    </w:p>
    <w:p w14:paraId="58892631" w14:textId="77777777" w:rsidR="008B4059" w:rsidRDefault="0076406B" w:rsidP="006719AF">
      <w:pPr>
        <w:pStyle w:val="ListParagraph"/>
        <w:numPr>
          <w:ilvl w:val="0"/>
          <w:numId w:val="19"/>
        </w:numPr>
      </w:pPr>
      <w:r>
        <w:t xml:space="preserve">Data </w:t>
      </w:r>
      <w:r w:rsidR="00731AAD">
        <w:t>B</w:t>
      </w:r>
      <w:r>
        <w:t xml:space="preserve">reach </w:t>
      </w:r>
      <w:r w:rsidR="00731AAD">
        <w:t>R</w:t>
      </w:r>
      <w:r>
        <w:t xml:space="preserve">esponse </w:t>
      </w:r>
      <w:r w:rsidR="00731AAD">
        <w:t>P</w:t>
      </w:r>
      <w:r>
        <w:t>lan</w:t>
      </w:r>
    </w:p>
    <w:p w14:paraId="208B118D" w14:textId="77777777" w:rsidR="008B4059" w:rsidRDefault="0076406B" w:rsidP="006719AF">
      <w:pPr>
        <w:pStyle w:val="ListParagraph"/>
        <w:numPr>
          <w:ilvl w:val="0"/>
          <w:numId w:val="19"/>
        </w:numPr>
        <w:spacing w:after="0"/>
      </w:pPr>
      <w:r>
        <w:t xml:space="preserve">Acceptable </w:t>
      </w:r>
      <w:r w:rsidR="00731AAD">
        <w:t>U</w:t>
      </w:r>
      <w:r>
        <w:t xml:space="preserve">se </w:t>
      </w:r>
      <w:r w:rsidR="00731AAD">
        <w:t>P</w:t>
      </w:r>
      <w:r>
        <w:t>olicy</w:t>
      </w:r>
    </w:p>
    <w:p w14:paraId="122D0958" w14:textId="77777777" w:rsidR="008B4059" w:rsidRPr="008F4A4D" w:rsidRDefault="008B4059" w:rsidP="008B4059">
      <w:pPr>
        <w:pStyle w:val="ListParagraph"/>
        <w:spacing w:after="0"/>
      </w:pPr>
    </w:p>
    <w:p w14:paraId="64CC3482" w14:textId="77777777" w:rsidR="008F4A4D" w:rsidRDefault="0076406B" w:rsidP="006719AF">
      <w:pPr>
        <w:pStyle w:val="Heading2"/>
        <w:numPr>
          <w:ilvl w:val="0"/>
          <w:numId w:val="6"/>
        </w:numPr>
      </w:pPr>
      <w:r>
        <w:t>Roles and responsibilities</w:t>
      </w:r>
    </w:p>
    <w:tbl>
      <w:tblPr>
        <w:tblStyle w:val="CULightInternalborders"/>
        <w:tblW w:w="5000" w:type="pct"/>
        <w:tblInd w:w="-5"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tblLook w:val="04A0" w:firstRow="1" w:lastRow="0" w:firstColumn="1" w:lastColumn="0" w:noHBand="0" w:noVBand="1"/>
      </w:tblPr>
      <w:tblGrid>
        <w:gridCol w:w="2555"/>
        <w:gridCol w:w="7073"/>
      </w:tblGrid>
      <w:tr w:rsidR="000424F3" w14:paraId="0EB7867A" w14:textId="77777777" w:rsidTr="000424F3">
        <w:trPr>
          <w:cnfStyle w:val="100000000000" w:firstRow="1" w:lastRow="0" w:firstColumn="0" w:lastColumn="0" w:oddVBand="0" w:evenVBand="0" w:oddHBand="0" w:evenHBand="0" w:firstRowFirstColumn="0" w:firstRowLastColumn="0" w:lastRowFirstColumn="0" w:lastRowLastColumn="0"/>
          <w:tblHeader/>
        </w:trPr>
        <w:tc>
          <w:tcPr>
            <w:tcW w:w="1327" w:type="pct"/>
            <w:shd w:val="clear" w:color="auto" w:fill="B8CCE3"/>
          </w:tcPr>
          <w:p w14:paraId="09073A45" w14:textId="77777777" w:rsidR="008F4A4D" w:rsidRPr="003B5213" w:rsidRDefault="0076406B" w:rsidP="008B4059">
            <w:pPr>
              <w:spacing w:before="120"/>
              <w:rPr>
                <w:sz w:val="20"/>
                <w:szCs w:val="20"/>
              </w:rPr>
            </w:pPr>
            <w:r w:rsidRPr="003B5213">
              <w:rPr>
                <w:color w:val="auto"/>
                <w:sz w:val="20"/>
                <w:szCs w:val="20"/>
              </w:rPr>
              <w:t xml:space="preserve">Role </w:t>
            </w:r>
          </w:p>
        </w:tc>
        <w:tc>
          <w:tcPr>
            <w:tcW w:w="3673" w:type="pct"/>
            <w:shd w:val="clear" w:color="auto" w:fill="B8CCE3"/>
          </w:tcPr>
          <w:p w14:paraId="755310C7" w14:textId="77777777" w:rsidR="008F4A4D" w:rsidRPr="003B5213" w:rsidRDefault="0076406B" w:rsidP="008B4059">
            <w:pPr>
              <w:spacing w:before="120"/>
              <w:rPr>
                <w:sz w:val="20"/>
                <w:szCs w:val="20"/>
              </w:rPr>
            </w:pPr>
            <w:r w:rsidRPr="003B5213">
              <w:rPr>
                <w:color w:val="auto"/>
                <w:sz w:val="20"/>
                <w:szCs w:val="20"/>
              </w:rPr>
              <w:t>Responsibility</w:t>
            </w:r>
          </w:p>
        </w:tc>
      </w:tr>
      <w:tr w:rsidR="000424F3" w14:paraId="22D3D1BD" w14:textId="77777777" w:rsidTr="000424F3">
        <w:tc>
          <w:tcPr>
            <w:tcW w:w="1327" w:type="pct"/>
          </w:tcPr>
          <w:p w14:paraId="31AEA441" w14:textId="77777777" w:rsidR="008F4A4D" w:rsidRPr="003B5213" w:rsidRDefault="0076406B" w:rsidP="008B4059">
            <w:pPr>
              <w:spacing w:before="120"/>
              <w:rPr>
                <w:sz w:val="20"/>
                <w:szCs w:val="20"/>
              </w:rPr>
            </w:pPr>
            <w:r w:rsidRPr="003B5213">
              <w:rPr>
                <w:sz w:val="20"/>
                <w:szCs w:val="20"/>
              </w:rPr>
              <w:t xml:space="preserve">Employee </w:t>
            </w:r>
          </w:p>
        </w:tc>
        <w:tc>
          <w:tcPr>
            <w:tcW w:w="3673" w:type="pct"/>
          </w:tcPr>
          <w:p w14:paraId="13E0125B" w14:textId="77777777" w:rsidR="008F4A4D" w:rsidRPr="003B5213" w:rsidRDefault="0076406B" w:rsidP="008B4059">
            <w:pPr>
              <w:spacing w:before="120"/>
              <w:rPr>
                <w:sz w:val="20"/>
                <w:szCs w:val="20"/>
              </w:rPr>
            </w:pPr>
            <w:r w:rsidRPr="003B5213">
              <w:rPr>
                <w:sz w:val="20"/>
                <w:szCs w:val="20"/>
              </w:rPr>
              <w:t xml:space="preserve">Read the Data Breach Policy and </w:t>
            </w:r>
            <w:r w:rsidR="003B5213" w:rsidRPr="003B5213">
              <w:rPr>
                <w:sz w:val="20"/>
                <w:szCs w:val="20"/>
              </w:rPr>
              <w:t xml:space="preserve">Data Breach </w:t>
            </w:r>
            <w:r w:rsidRPr="003B5213">
              <w:rPr>
                <w:sz w:val="20"/>
                <w:szCs w:val="20"/>
              </w:rPr>
              <w:t xml:space="preserve">Response Plan and understand what is expected of them. </w:t>
            </w:r>
          </w:p>
          <w:p w14:paraId="162CDE24" w14:textId="77777777" w:rsidR="008F4A4D" w:rsidRPr="003B5213" w:rsidRDefault="0076406B" w:rsidP="008B4059">
            <w:pPr>
              <w:spacing w:before="120"/>
              <w:rPr>
                <w:sz w:val="20"/>
                <w:szCs w:val="20"/>
              </w:rPr>
            </w:pPr>
            <w:r w:rsidRPr="003B5213">
              <w:rPr>
                <w:sz w:val="20"/>
                <w:szCs w:val="20"/>
              </w:rPr>
              <w:t xml:space="preserve">Comply with the IP Act, including protecting personal information held by the </w:t>
            </w:r>
            <w:r w:rsidR="003B5213" w:rsidRPr="003B5213">
              <w:rPr>
                <w:sz w:val="20"/>
                <w:szCs w:val="20"/>
              </w:rPr>
              <w:t xml:space="preserve">department </w:t>
            </w:r>
            <w:r w:rsidRPr="003B5213">
              <w:rPr>
                <w:sz w:val="20"/>
                <w:szCs w:val="20"/>
              </w:rPr>
              <w:t xml:space="preserve">from unauthorised access, disclosure or loss. </w:t>
            </w:r>
          </w:p>
          <w:p w14:paraId="5252BD94" w14:textId="77777777" w:rsidR="008F4A4D" w:rsidRPr="003B5213" w:rsidRDefault="0076406B" w:rsidP="008B4059">
            <w:pPr>
              <w:spacing w:before="120"/>
              <w:rPr>
                <w:sz w:val="20"/>
                <w:szCs w:val="20"/>
              </w:rPr>
            </w:pPr>
            <w:r w:rsidRPr="003B5213">
              <w:rPr>
                <w:sz w:val="20"/>
                <w:szCs w:val="20"/>
              </w:rPr>
              <w:t>Where required in accordance with this Data Breach Policy, immediately report a data breach or suspected data breach to the appropriate officer (this could be a supervisor, manager, senior officer or privacy officer).</w:t>
            </w:r>
          </w:p>
          <w:p w14:paraId="4B3FC0F0" w14:textId="77777777" w:rsidR="008F4A4D" w:rsidRPr="003B5213" w:rsidRDefault="0076406B" w:rsidP="008B4059">
            <w:pPr>
              <w:spacing w:before="120"/>
              <w:rPr>
                <w:sz w:val="20"/>
                <w:szCs w:val="20"/>
              </w:rPr>
            </w:pPr>
            <w:r w:rsidRPr="003B5213">
              <w:rPr>
                <w:sz w:val="20"/>
                <w:szCs w:val="20"/>
              </w:rPr>
              <w:t xml:space="preserve">Respond to requests for information from and cooperate with the Privacy Officer and/or the Data Breach Response Team. </w:t>
            </w:r>
          </w:p>
          <w:p w14:paraId="67D99FC9" w14:textId="77777777" w:rsidR="008F4A4D" w:rsidRPr="003B5213" w:rsidRDefault="0076406B" w:rsidP="008B4059">
            <w:pPr>
              <w:spacing w:before="120"/>
              <w:rPr>
                <w:sz w:val="20"/>
                <w:szCs w:val="20"/>
              </w:rPr>
            </w:pPr>
            <w:r w:rsidRPr="003B5213">
              <w:rPr>
                <w:sz w:val="20"/>
                <w:szCs w:val="20"/>
              </w:rPr>
              <w:t>Comply with record keeping obligations.</w:t>
            </w:r>
          </w:p>
        </w:tc>
      </w:tr>
      <w:tr w:rsidR="000424F3" w14:paraId="3927A6C0" w14:textId="77777777" w:rsidTr="000424F3">
        <w:tc>
          <w:tcPr>
            <w:tcW w:w="1327" w:type="pct"/>
          </w:tcPr>
          <w:p w14:paraId="332212D5" w14:textId="77777777" w:rsidR="008F4A4D" w:rsidRPr="003B5213" w:rsidRDefault="0076406B" w:rsidP="008B4059">
            <w:pPr>
              <w:spacing w:before="120"/>
              <w:rPr>
                <w:sz w:val="20"/>
                <w:szCs w:val="20"/>
              </w:rPr>
            </w:pPr>
            <w:r w:rsidRPr="003B5213">
              <w:rPr>
                <w:sz w:val="20"/>
                <w:szCs w:val="20"/>
              </w:rPr>
              <w:t xml:space="preserve">Manager, Information Privacy and Governance </w:t>
            </w:r>
          </w:p>
        </w:tc>
        <w:tc>
          <w:tcPr>
            <w:tcW w:w="3673" w:type="pct"/>
          </w:tcPr>
          <w:p w14:paraId="3D3940AF" w14:textId="77777777" w:rsidR="008F4A4D" w:rsidRPr="003B5213" w:rsidRDefault="0076406B" w:rsidP="008B4059">
            <w:pPr>
              <w:spacing w:before="120"/>
              <w:rPr>
                <w:sz w:val="20"/>
                <w:szCs w:val="20"/>
              </w:rPr>
            </w:pPr>
            <w:r w:rsidRPr="003B5213">
              <w:rPr>
                <w:sz w:val="20"/>
                <w:szCs w:val="20"/>
              </w:rPr>
              <w:t>Assess the severity of a data breach involving personal information and the likelihood that a breach will result in serious harm to an individual to whom the information involved relates.</w:t>
            </w:r>
          </w:p>
          <w:p w14:paraId="5873421B" w14:textId="77777777" w:rsidR="008F4A4D" w:rsidRPr="003B5213" w:rsidRDefault="0076406B" w:rsidP="008B4059">
            <w:pPr>
              <w:spacing w:before="120"/>
              <w:rPr>
                <w:sz w:val="20"/>
                <w:szCs w:val="20"/>
              </w:rPr>
            </w:pPr>
            <w:r w:rsidRPr="003B5213">
              <w:rPr>
                <w:sz w:val="20"/>
                <w:szCs w:val="20"/>
              </w:rPr>
              <w:lastRenderedPageBreak/>
              <w:t>Escalate serious data breaches to relevant senior officer or executive.</w:t>
            </w:r>
          </w:p>
          <w:p w14:paraId="58BBD90E" w14:textId="77777777" w:rsidR="008F4A4D" w:rsidRPr="003B5213" w:rsidRDefault="0076406B" w:rsidP="008B4059">
            <w:pPr>
              <w:spacing w:before="120"/>
              <w:rPr>
                <w:sz w:val="20"/>
                <w:szCs w:val="20"/>
              </w:rPr>
            </w:pPr>
            <w:r w:rsidRPr="003B5213">
              <w:rPr>
                <w:sz w:val="20"/>
                <w:szCs w:val="20"/>
              </w:rPr>
              <w:t>Notify (or arrange for a senior officer or executive to notify) the Information Commissioner, affected persons and others where required. This includes publishing, monitoring and reviewing the currency of public notifications of a data breach published to the agency website under section 53(1)(c)</w:t>
            </w:r>
            <w:r w:rsidR="003B5213" w:rsidRPr="003B5213">
              <w:rPr>
                <w:sz w:val="20"/>
                <w:szCs w:val="20"/>
              </w:rPr>
              <w:t xml:space="preserve"> IP Act</w:t>
            </w:r>
            <w:r w:rsidRPr="003B5213">
              <w:rPr>
                <w:sz w:val="20"/>
                <w:szCs w:val="20"/>
              </w:rPr>
              <w:t>.</w:t>
            </w:r>
          </w:p>
          <w:p w14:paraId="3982C05C" w14:textId="77777777" w:rsidR="008F4A4D" w:rsidRPr="003B5213" w:rsidRDefault="0076406B" w:rsidP="008B4059">
            <w:pPr>
              <w:spacing w:before="120"/>
              <w:rPr>
                <w:sz w:val="20"/>
                <w:szCs w:val="20"/>
              </w:rPr>
            </w:pPr>
            <w:r w:rsidRPr="003B5213">
              <w:rPr>
                <w:sz w:val="20"/>
                <w:szCs w:val="20"/>
              </w:rPr>
              <w:t>Immediately report a data breach that is also a cyber security incident to the</w:t>
            </w:r>
            <w:r w:rsidR="003B5213" w:rsidRPr="003B5213">
              <w:rPr>
                <w:sz w:val="20"/>
                <w:szCs w:val="20"/>
              </w:rPr>
              <w:t xml:space="preserve"> Service Desk or</w:t>
            </w:r>
            <w:r w:rsidRPr="003B5213">
              <w:rPr>
                <w:sz w:val="20"/>
                <w:szCs w:val="20"/>
              </w:rPr>
              <w:t xml:space="preserve"> Information </w:t>
            </w:r>
            <w:r w:rsidR="003B5213" w:rsidRPr="003B5213">
              <w:rPr>
                <w:sz w:val="20"/>
                <w:szCs w:val="20"/>
              </w:rPr>
              <w:t>Security team</w:t>
            </w:r>
            <w:r w:rsidRPr="003B5213">
              <w:rPr>
                <w:sz w:val="20"/>
                <w:szCs w:val="20"/>
              </w:rPr>
              <w:t>, if not already reported.</w:t>
            </w:r>
          </w:p>
          <w:p w14:paraId="681A4DD4" w14:textId="77777777" w:rsidR="008F4A4D" w:rsidRPr="003B5213" w:rsidRDefault="0076406B" w:rsidP="008B4059">
            <w:pPr>
              <w:spacing w:before="120"/>
              <w:rPr>
                <w:sz w:val="20"/>
                <w:szCs w:val="20"/>
              </w:rPr>
            </w:pPr>
            <w:r w:rsidRPr="003B5213">
              <w:rPr>
                <w:sz w:val="20"/>
                <w:szCs w:val="20"/>
              </w:rPr>
              <w:t xml:space="preserve">Maintain the Register of Eligible Data Breaches. </w:t>
            </w:r>
          </w:p>
          <w:p w14:paraId="5428B7FF" w14:textId="77777777" w:rsidR="003B5213" w:rsidRPr="003B5213" w:rsidRDefault="0076406B" w:rsidP="008B4059">
            <w:pPr>
              <w:spacing w:before="120"/>
              <w:rPr>
                <w:sz w:val="20"/>
                <w:szCs w:val="20"/>
              </w:rPr>
            </w:pPr>
            <w:r w:rsidRPr="003B5213">
              <w:rPr>
                <w:sz w:val="20"/>
                <w:szCs w:val="20"/>
              </w:rPr>
              <w:t>Maintain and update this Policy.</w:t>
            </w:r>
          </w:p>
        </w:tc>
      </w:tr>
      <w:tr w:rsidR="000424F3" w14:paraId="3BAD7D9D" w14:textId="77777777" w:rsidTr="000424F3">
        <w:trPr>
          <w:cantSplit/>
        </w:trPr>
        <w:tc>
          <w:tcPr>
            <w:tcW w:w="1327" w:type="pct"/>
          </w:tcPr>
          <w:p w14:paraId="4134E9EB" w14:textId="77777777" w:rsidR="008F4A4D" w:rsidRPr="003B5213" w:rsidRDefault="0076406B" w:rsidP="008B4059">
            <w:pPr>
              <w:spacing w:before="120"/>
              <w:rPr>
                <w:sz w:val="20"/>
                <w:szCs w:val="20"/>
              </w:rPr>
            </w:pPr>
            <w:r w:rsidRPr="003B5213">
              <w:rPr>
                <w:sz w:val="20"/>
                <w:szCs w:val="20"/>
              </w:rPr>
              <w:lastRenderedPageBreak/>
              <w:t>Manager</w:t>
            </w:r>
            <w:r w:rsidR="00A117F8">
              <w:rPr>
                <w:sz w:val="20"/>
                <w:szCs w:val="20"/>
              </w:rPr>
              <w:t>s</w:t>
            </w:r>
          </w:p>
        </w:tc>
        <w:tc>
          <w:tcPr>
            <w:tcW w:w="3673" w:type="pct"/>
          </w:tcPr>
          <w:p w14:paraId="25FEB1DE" w14:textId="77777777" w:rsidR="008F4A4D" w:rsidRPr="003B5213" w:rsidRDefault="0076406B" w:rsidP="008B4059">
            <w:pPr>
              <w:spacing w:before="120"/>
              <w:rPr>
                <w:sz w:val="20"/>
                <w:szCs w:val="20"/>
              </w:rPr>
            </w:pPr>
            <w:r w:rsidRPr="003B5213">
              <w:rPr>
                <w:sz w:val="20"/>
                <w:szCs w:val="20"/>
              </w:rPr>
              <w:t>Identify and escalate concerns within area of responsibility which may enliven the requirements of this Data Breach Policy.</w:t>
            </w:r>
          </w:p>
          <w:p w14:paraId="36FA4ECA" w14:textId="77777777" w:rsidR="008F4A4D" w:rsidRPr="003B5213" w:rsidRDefault="0076406B" w:rsidP="008B4059">
            <w:pPr>
              <w:spacing w:before="120"/>
              <w:rPr>
                <w:sz w:val="20"/>
                <w:szCs w:val="20"/>
              </w:rPr>
            </w:pPr>
            <w:r w:rsidRPr="003B5213">
              <w:rPr>
                <w:sz w:val="20"/>
                <w:szCs w:val="20"/>
              </w:rPr>
              <w:t xml:space="preserve">Immediately report a data breach that is also a cyber security incident to the </w:t>
            </w:r>
            <w:r w:rsidR="003B5213" w:rsidRPr="003B5213">
              <w:rPr>
                <w:sz w:val="20"/>
                <w:szCs w:val="20"/>
              </w:rPr>
              <w:t xml:space="preserve">Service Desk or </w:t>
            </w:r>
            <w:r w:rsidRPr="003B5213">
              <w:rPr>
                <w:sz w:val="20"/>
                <w:szCs w:val="20"/>
              </w:rPr>
              <w:t>Information</w:t>
            </w:r>
            <w:r w:rsidR="003B5213" w:rsidRPr="003B5213">
              <w:rPr>
                <w:sz w:val="20"/>
                <w:szCs w:val="20"/>
              </w:rPr>
              <w:t xml:space="preserve"> Security team</w:t>
            </w:r>
            <w:r w:rsidRPr="003B5213">
              <w:rPr>
                <w:sz w:val="20"/>
                <w:szCs w:val="20"/>
              </w:rPr>
              <w:t>, if not already reported.</w:t>
            </w:r>
          </w:p>
        </w:tc>
      </w:tr>
      <w:tr w:rsidR="000424F3" w14:paraId="5AB30978" w14:textId="77777777" w:rsidTr="000424F3">
        <w:trPr>
          <w:cantSplit/>
        </w:trPr>
        <w:tc>
          <w:tcPr>
            <w:tcW w:w="1327" w:type="pct"/>
          </w:tcPr>
          <w:p w14:paraId="09B8CEE6" w14:textId="77777777" w:rsidR="008F4A4D" w:rsidRPr="003B5213" w:rsidRDefault="0076406B" w:rsidP="008B4059">
            <w:pPr>
              <w:spacing w:before="120"/>
              <w:rPr>
                <w:sz w:val="20"/>
                <w:szCs w:val="20"/>
              </w:rPr>
            </w:pPr>
            <w:r w:rsidRPr="003B5213">
              <w:rPr>
                <w:sz w:val="20"/>
                <w:szCs w:val="20"/>
              </w:rPr>
              <w:t xml:space="preserve">Senior Management </w:t>
            </w:r>
          </w:p>
          <w:p w14:paraId="11E5FF63" w14:textId="77777777" w:rsidR="008F4A4D" w:rsidRPr="003B5213" w:rsidRDefault="008F4A4D" w:rsidP="008B4059">
            <w:pPr>
              <w:spacing w:before="120"/>
              <w:rPr>
                <w:sz w:val="20"/>
                <w:szCs w:val="20"/>
              </w:rPr>
            </w:pPr>
          </w:p>
        </w:tc>
        <w:tc>
          <w:tcPr>
            <w:tcW w:w="3673" w:type="pct"/>
          </w:tcPr>
          <w:p w14:paraId="3F83246C" w14:textId="77777777" w:rsidR="008F4A4D" w:rsidRPr="003B5213" w:rsidRDefault="0076406B" w:rsidP="008B4059">
            <w:pPr>
              <w:spacing w:before="120"/>
              <w:rPr>
                <w:sz w:val="20"/>
                <w:szCs w:val="20"/>
              </w:rPr>
            </w:pPr>
            <w:r w:rsidRPr="003B5213">
              <w:rPr>
                <w:sz w:val="20"/>
                <w:szCs w:val="20"/>
              </w:rPr>
              <w:t xml:space="preserve">Immediately report a cyber security incident that is also a data breach to the </w:t>
            </w:r>
            <w:r w:rsidR="000C7331">
              <w:rPr>
                <w:sz w:val="20"/>
                <w:szCs w:val="20"/>
              </w:rPr>
              <w:t xml:space="preserve">Information </w:t>
            </w:r>
            <w:r w:rsidRPr="003B5213">
              <w:rPr>
                <w:sz w:val="20"/>
                <w:szCs w:val="20"/>
              </w:rPr>
              <w:t xml:space="preserve">Privacy </w:t>
            </w:r>
            <w:r w:rsidR="000C7331">
              <w:rPr>
                <w:sz w:val="20"/>
                <w:szCs w:val="20"/>
              </w:rPr>
              <w:t>and Governance team</w:t>
            </w:r>
            <w:r w:rsidRPr="003B5213">
              <w:rPr>
                <w:sz w:val="20"/>
                <w:szCs w:val="20"/>
              </w:rPr>
              <w:t>, if not already reported.</w:t>
            </w:r>
          </w:p>
          <w:p w14:paraId="25192A90" w14:textId="77777777" w:rsidR="008F4A4D" w:rsidRPr="003B5213" w:rsidRDefault="0076406B" w:rsidP="008B4059">
            <w:pPr>
              <w:spacing w:before="120"/>
              <w:rPr>
                <w:sz w:val="20"/>
                <w:szCs w:val="20"/>
              </w:rPr>
            </w:pPr>
            <w:r w:rsidRPr="003B5213">
              <w:rPr>
                <w:sz w:val="20"/>
                <w:szCs w:val="20"/>
              </w:rPr>
              <w:t>Where relevant, notify the Information Commissioner, affected persons and others where required.</w:t>
            </w:r>
          </w:p>
          <w:p w14:paraId="51829C4B" w14:textId="77777777" w:rsidR="008F4A4D" w:rsidRPr="003B5213" w:rsidRDefault="0076406B" w:rsidP="008B4059">
            <w:pPr>
              <w:spacing w:before="120"/>
              <w:rPr>
                <w:sz w:val="20"/>
                <w:szCs w:val="20"/>
              </w:rPr>
            </w:pPr>
            <w:r w:rsidRPr="003B5213">
              <w:rPr>
                <w:sz w:val="20"/>
                <w:szCs w:val="20"/>
              </w:rPr>
              <w:t xml:space="preserve">Implement the </w:t>
            </w:r>
            <w:r w:rsidR="003B5213" w:rsidRPr="003B5213">
              <w:rPr>
                <w:sz w:val="20"/>
                <w:szCs w:val="20"/>
              </w:rPr>
              <w:t>Information S</w:t>
            </w:r>
            <w:r w:rsidRPr="003B5213">
              <w:rPr>
                <w:sz w:val="20"/>
                <w:szCs w:val="20"/>
              </w:rPr>
              <w:t xml:space="preserve">ecurity </w:t>
            </w:r>
            <w:r w:rsidR="003B5213" w:rsidRPr="003B5213">
              <w:rPr>
                <w:sz w:val="20"/>
                <w:szCs w:val="20"/>
              </w:rPr>
              <w:t xml:space="preserve">Incident Response </w:t>
            </w:r>
            <w:r w:rsidRPr="003B5213">
              <w:rPr>
                <w:sz w:val="20"/>
                <w:szCs w:val="20"/>
              </w:rPr>
              <w:t xml:space="preserve">Plan and related procedures if the data breach is also a cyber security incident. </w:t>
            </w:r>
          </w:p>
          <w:p w14:paraId="1AB2DC1D" w14:textId="77777777" w:rsidR="008F4A4D" w:rsidRPr="003B5213" w:rsidRDefault="0076406B" w:rsidP="008B4059">
            <w:pPr>
              <w:spacing w:before="120"/>
              <w:rPr>
                <w:sz w:val="20"/>
                <w:szCs w:val="20"/>
              </w:rPr>
            </w:pPr>
            <w:r w:rsidRPr="003B5213">
              <w:rPr>
                <w:sz w:val="20"/>
                <w:szCs w:val="20"/>
              </w:rPr>
              <w:t xml:space="preserve">Convene the </w:t>
            </w:r>
            <w:r w:rsidR="003B5213" w:rsidRPr="003B5213">
              <w:rPr>
                <w:sz w:val="20"/>
                <w:szCs w:val="20"/>
              </w:rPr>
              <w:t>Information Security Incident</w:t>
            </w:r>
            <w:r w:rsidRPr="003B5213">
              <w:rPr>
                <w:sz w:val="20"/>
                <w:szCs w:val="20"/>
              </w:rPr>
              <w:t xml:space="preserve"> Response Team, when appropriate</w:t>
            </w:r>
          </w:p>
        </w:tc>
      </w:tr>
      <w:tr w:rsidR="000424F3" w14:paraId="7C5C6AE6" w14:textId="77777777" w:rsidTr="000424F3">
        <w:tc>
          <w:tcPr>
            <w:tcW w:w="1327" w:type="pct"/>
          </w:tcPr>
          <w:p w14:paraId="217F1EA2" w14:textId="77777777" w:rsidR="008F4A4D" w:rsidRPr="003B5213" w:rsidRDefault="0076406B" w:rsidP="008B4059">
            <w:pPr>
              <w:spacing w:before="120"/>
              <w:rPr>
                <w:sz w:val="20"/>
                <w:szCs w:val="20"/>
              </w:rPr>
            </w:pPr>
            <w:r w:rsidRPr="003B5213">
              <w:rPr>
                <w:sz w:val="20"/>
                <w:szCs w:val="20"/>
              </w:rPr>
              <w:t xml:space="preserve">Information Security Incident Response Team [note that members </w:t>
            </w:r>
            <w:r w:rsidR="00731AAD">
              <w:rPr>
                <w:sz w:val="20"/>
                <w:szCs w:val="20"/>
              </w:rPr>
              <w:t>are</w:t>
            </w:r>
            <w:r w:rsidR="00A117F8">
              <w:rPr>
                <w:sz w:val="20"/>
                <w:szCs w:val="20"/>
              </w:rPr>
              <w:t xml:space="preserve"> drawn </w:t>
            </w:r>
            <w:r w:rsidRPr="003B5213">
              <w:rPr>
                <w:sz w:val="20"/>
                <w:szCs w:val="20"/>
              </w:rPr>
              <w:t xml:space="preserve">from various teams within the </w:t>
            </w:r>
            <w:r w:rsidR="00A117F8">
              <w:rPr>
                <w:sz w:val="20"/>
                <w:szCs w:val="20"/>
              </w:rPr>
              <w:t>department</w:t>
            </w:r>
            <w:r w:rsidRPr="003B5213">
              <w:rPr>
                <w:sz w:val="20"/>
                <w:szCs w:val="20"/>
              </w:rPr>
              <w:t>]</w:t>
            </w:r>
          </w:p>
        </w:tc>
        <w:tc>
          <w:tcPr>
            <w:tcW w:w="3673" w:type="pct"/>
          </w:tcPr>
          <w:p w14:paraId="24C6DEC1" w14:textId="77777777" w:rsidR="008F4A4D" w:rsidRPr="003B5213" w:rsidRDefault="0076406B" w:rsidP="008B4059">
            <w:pPr>
              <w:spacing w:before="120"/>
              <w:rPr>
                <w:sz w:val="20"/>
                <w:szCs w:val="20"/>
              </w:rPr>
            </w:pPr>
            <w:r w:rsidRPr="003B5213">
              <w:rPr>
                <w:sz w:val="20"/>
                <w:szCs w:val="20"/>
              </w:rPr>
              <w:t xml:space="preserve">Manage a data breach that is considered likely to cause serious harm to any impacted individual or the agency's systems. </w:t>
            </w:r>
          </w:p>
        </w:tc>
      </w:tr>
    </w:tbl>
    <w:p w14:paraId="007E0321" w14:textId="77777777" w:rsidR="008F4A4D" w:rsidRDefault="008F4A4D" w:rsidP="003B5213">
      <w:pPr>
        <w:pStyle w:val="CUNumber1"/>
        <w:numPr>
          <w:ilvl w:val="0"/>
          <w:numId w:val="0"/>
        </w:numPr>
        <w:spacing w:after="0"/>
      </w:pPr>
    </w:p>
    <w:p w14:paraId="7D4AA8FB" w14:textId="77777777" w:rsidR="008F4A4D" w:rsidRDefault="0076406B" w:rsidP="00D05B78">
      <w:pPr>
        <w:pStyle w:val="Heading2"/>
        <w:numPr>
          <w:ilvl w:val="0"/>
          <w:numId w:val="6"/>
        </w:numPr>
      </w:pPr>
      <w:r>
        <w:t>Definitions</w:t>
      </w:r>
    </w:p>
    <w:tbl>
      <w:tblPr>
        <w:tblStyle w:val="CULightInternalborders"/>
        <w:tblW w:w="5000" w:type="pct"/>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tblLook w:val="04A0" w:firstRow="1" w:lastRow="0" w:firstColumn="1" w:lastColumn="0" w:noHBand="0" w:noVBand="1"/>
      </w:tblPr>
      <w:tblGrid>
        <w:gridCol w:w="2272"/>
        <w:gridCol w:w="7356"/>
      </w:tblGrid>
      <w:tr w:rsidR="000424F3" w14:paraId="3E2E194A" w14:textId="77777777" w:rsidTr="000424F3">
        <w:trPr>
          <w:cnfStyle w:val="100000000000" w:firstRow="1" w:lastRow="0" w:firstColumn="0" w:lastColumn="0" w:oddVBand="0" w:evenVBand="0" w:oddHBand="0" w:evenHBand="0" w:firstRowFirstColumn="0" w:firstRowLastColumn="0" w:lastRowFirstColumn="0" w:lastRowLastColumn="0"/>
          <w:tblHeader/>
        </w:trPr>
        <w:tc>
          <w:tcPr>
            <w:tcW w:w="1180" w:type="pct"/>
            <w:shd w:val="clear" w:color="auto" w:fill="B8CCE3"/>
          </w:tcPr>
          <w:p w14:paraId="34419487" w14:textId="77777777" w:rsidR="008F4A4D" w:rsidRPr="00434D78" w:rsidRDefault="0076406B" w:rsidP="00F6450C">
            <w:pPr>
              <w:spacing w:before="120"/>
            </w:pPr>
            <w:r w:rsidRPr="00434D78">
              <w:rPr>
                <w:color w:val="auto"/>
              </w:rPr>
              <w:t>Term</w:t>
            </w:r>
          </w:p>
        </w:tc>
        <w:tc>
          <w:tcPr>
            <w:tcW w:w="3820" w:type="pct"/>
            <w:shd w:val="clear" w:color="auto" w:fill="B8CCE3"/>
          </w:tcPr>
          <w:p w14:paraId="52EBE146" w14:textId="77777777" w:rsidR="008F4A4D" w:rsidRPr="00434D78" w:rsidRDefault="0076406B" w:rsidP="00F6450C">
            <w:pPr>
              <w:spacing w:before="120"/>
            </w:pPr>
            <w:r w:rsidRPr="00434D78">
              <w:rPr>
                <w:color w:val="auto"/>
              </w:rPr>
              <w:t xml:space="preserve">Meaning </w:t>
            </w:r>
          </w:p>
        </w:tc>
      </w:tr>
      <w:tr w:rsidR="000424F3" w14:paraId="5AC18688" w14:textId="77777777" w:rsidTr="000424F3">
        <w:tc>
          <w:tcPr>
            <w:tcW w:w="1180" w:type="pct"/>
          </w:tcPr>
          <w:p w14:paraId="098D0414" w14:textId="77777777" w:rsidR="008F4A4D" w:rsidRDefault="0076406B" w:rsidP="00F6450C">
            <w:pPr>
              <w:pStyle w:val="Definition"/>
            </w:pPr>
            <w:r>
              <w:t xml:space="preserve">Affected individual </w:t>
            </w:r>
          </w:p>
        </w:tc>
        <w:tc>
          <w:tcPr>
            <w:tcW w:w="3820" w:type="pct"/>
          </w:tcPr>
          <w:p w14:paraId="01E21EBA" w14:textId="77777777" w:rsidR="008F4A4D" w:rsidRPr="00731AAD" w:rsidRDefault="0076406B" w:rsidP="00F6450C">
            <w:pPr>
              <w:spacing w:before="120"/>
              <w:rPr>
                <w:sz w:val="20"/>
                <w:szCs w:val="20"/>
              </w:rPr>
            </w:pPr>
            <w:r w:rsidRPr="00731AAD">
              <w:rPr>
                <w:sz w:val="20"/>
                <w:szCs w:val="20"/>
              </w:rPr>
              <w:t xml:space="preserve">An “affected individual” under section 47(1)(ii) of the IP Act. </w:t>
            </w:r>
          </w:p>
        </w:tc>
      </w:tr>
      <w:tr w:rsidR="000424F3" w14:paraId="6C84D5A1" w14:textId="77777777" w:rsidTr="000424F3">
        <w:tc>
          <w:tcPr>
            <w:tcW w:w="1180" w:type="pct"/>
          </w:tcPr>
          <w:p w14:paraId="4D52FBC1" w14:textId="77777777" w:rsidR="008F4A4D" w:rsidRDefault="0076406B" w:rsidP="00F6450C">
            <w:pPr>
              <w:pStyle w:val="Definition"/>
            </w:pPr>
            <w:r>
              <w:t xml:space="preserve">Data breach </w:t>
            </w:r>
          </w:p>
        </w:tc>
        <w:tc>
          <w:tcPr>
            <w:tcW w:w="3820" w:type="pct"/>
          </w:tcPr>
          <w:p w14:paraId="0390FE9F" w14:textId="77777777" w:rsidR="008F4A4D" w:rsidRPr="00731AAD" w:rsidRDefault="0076406B" w:rsidP="00F6450C">
            <w:pPr>
              <w:spacing w:before="120"/>
              <w:rPr>
                <w:sz w:val="20"/>
                <w:szCs w:val="20"/>
              </w:rPr>
            </w:pPr>
            <w:r w:rsidRPr="00731AAD">
              <w:rPr>
                <w:sz w:val="20"/>
                <w:szCs w:val="20"/>
              </w:rPr>
              <w:t xml:space="preserve">The unauthorised access to, or unauthorised disclosure of information or the loss of information in circumstances where unauthorised access to, or unauthorised disclosure of, the information is likely to occur in accordance with schedule 5 of the IP Act. </w:t>
            </w:r>
          </w:p>
        </w:tc>
      </w:tr>
      <w:tr w:rsidR="000424F3" w14:paraId="2BCCBC3F" w14:textId="77777777" w:rsidTr="000424F3">
        <w:tc>
          <w:tcPr>
            <w:tcW w:w="1180" w:type="pct"/>
          </w:tcPr>
          <w:p w14:paraId="3F046059" w14:textId="77777777" w:rsidR="008F4A4D" w:rsidRDefault="0076406B" w:rsidP="00F6450C">
            <w:pPr>
              <w:pStyle w:val="Definition"/>
            </w:pPr>
            <w:r>
              <w:t>Data Breach Policy</w:t>
            </w:r>
          </w:p>
        </w:tc>
        <w:tc>
          <w:tcPr>
            <w:tcW w:w="3820" w:type="pct"/>
          </w:tcPr>
          <w:p w14:paraId="25F10EAD" w14:textId="77777777" w:rsidR="008F4A4D" w:rsidRPr="00731AAD" w:rsidRDefault="0076406B" w:rsidP="00F6450C">
            <w:pPr>
              <w:spacing w:before="120"/>
              <w:rPr>
                <w:sz w:val="20"/>
                <w:szCs w:val="20"/>
              </w:rPr>
            </w:pPr>
            <w:r w:rsidRPr="00731AAD">
              <w:rPr>
                <w:sz w:val="20"/>
                <w:szCs w:val="20"/>
              </w:rPr>
              <w:t>This Policy.</w:t>
            </w:r>
          </w:p>
        </w:tc>
      </w:tr>
      <w:tr w:rsidR="000424F3" w14:paraId="4E93633D" w14:textId="77777777" w:rsidTr="000424F3">
        <w:tc>
          <w:tcPr>
            <w:tcW w:w="1180" w:type="pct"/>
          </w:tcPr>
          <w:p w14:paraId="685E759B" w14:textId="77777777" w:rsidR="008F4A4D" w:rsidRDefault="0076406B" w:rsidP="00F6450C">
            <w:pPr>
              <w:pStyle w:val="Definition"/>
            </w:pPr>
            <w:r>
              <w:t>Data Breach Response Plan</w:t>
            </w:r>
          </w:p>
        </w:tc>
        <w:tc>
          <w:tcPr>
            <w:tcW w:w="3820" w:type="pct"/>
          </w:tcPr>
          <w:p w14:paraId="0AD2A868" w14:textId="77777777" w:rsidR="008F4A4D" w:rsidRPr="00731AAD" w:rsidRDefault="0076406B" w:rsidP="00F6450C">
            <w:pPr>
              <w:spacing w:before="120"/>
              <w:rPr>
                <w:sz w:val="20"/>
                <w:szCs w:val="20"/>
              </w:rPr>
            </w:pPr>
            <w:r w:rsidRPr="00731AAD">
              <w:rPr>
                <w:sz w:val="20"/>
                <w:szCs w:val="20"/>
              </w:rPr>
              <w:t>A more detailed procedural document complementing the Data Breach Policy, which could be an internal document detailing the agency's more specific processes in managing and responding to a data breach.</w:t>
            </w:r>
          </w:p>
        </w:tc>
      </w:tr>
      <w:tr w:rsidR="000424F3" w14:paraId="53CB535D" w14:textId="77777777" w:rsidTr="000424F3">
        <w:tc>
          <w:tcPr>
            <w:tcW w:w="1180" w:type="pct"/>
          </w:tcPr>
          <w:p w14:paraId="0753039D" w14:textId="77777777" w:rsidR="008F4A4D" w:rsidRDefault="0076406B" w:rsidP="00F6450C">
            <w:pPr>
              <w:pStyle w:val="Definition"/>
            </w:pPr>
            <w:r>
              <w:lastRenderedPageBreak/>
              <w:t xml:space="preserve">Eligible Data Breach </w:t>
            </w:r>
          </w:p>
        </w:tc>
        <w:tc>
          <w:tcPr>
            <w:tcW w:w="3820" w:type="pct"/>
          </w:tcPr>
          <w:p w14:paraId="16BE5975" w14:textId="77777777" w:rsidR="008F4A4D" w:rsidRPr="00731AAD" w:rsidRDefault="0076406B" w:rsidP="00F6450C">
            <w:pPr>
              <w:spacing w:before="120"/>
              <w:rPr>
                <w:sz w:val="20"/>
                <w:szCs w:val="20"/>
              </w:rPr>
            </w:pPr>
            <w:r w:rsidRPr="00731AAD">
              <w:rPr>
                <w:sz w:val="20"/>
                <w:szCs w:val="20"/>
              </w:rPr>
              <w:t xml:space="preserve">An “Eligible Data Breach” will have occurred under section 47 of the IP Act where: </w:t>
            </w:r>
          </w:p>
          <w:p w14:paraId="1F7A928E" w14:textId="77777777" w:rsidR="008F4A4D" w:rsidRPr="00731AAD" w:rsidRDefault="0076406B" w:rsidP="00F6450C">
            <w:pPr>
              <w:pStyle w:val="DefinitionNum2"/>
              <w:rPr>
                <w:szCs w:val="20"/>
              </w:rPr>
            </w:pPr>
            <w:r w:rsidRPr="00731AAD">
              <w:rPr>
                <w:szCs w:val="20"/>
              </w:rPr>
              <w:t xml:space="preserve">there has been unauthorised access to, or unauthorised disclosure of </w:t>
            </w:r>
            <w:r w:rsidRPr="00731AAD">
              <w:rPr>
                <w:b/>
                <w:bCs/>
                <w:szCs w:val="20"/>
              </w:rPr>
              <w:t>personal information</w:t>
            </w:r>
            <w:r w:rsidRPr="00731AAD">
              <w:rPr>
                <w:szCs w:val="20"/>
              </w:rPr>
              <w:t xml:space="preserve"> held by an agency, </w:t>
            </w:r>
            <w:r w:rsidRPr="00731AAD">
              <w:rPr>
                <w:b/>
                <w:bCs/>
                <w:szCs w:val="20"/>
              </w:rPr>
              <w:t>and</w:t>
            </w:r>
          </w:p>
          <w:p w14:paraId="3C551C24" w14:textId="77777777" w:rsidR="008F4A4D" w:rsidRPr="00731AAD" w:rsidRDefault="0076406B" w:rsidP="00F6450C">
            <w:pPr>
              <w:pStyle w:val="DefinitionNum2"/>
              <w:numPr>
                <w:ilvl w:val="0"/>
                <w:numId w:val="0"/>
              </w:numPr>
              <w:ind w:left="567"/>
              <w:rPr>
                <w:szCs w:val="20"/>
              </w:rPr>
            </w:pPr>
            <w:r w:rsidRPr="00731AAD">
              <w:rPr>
                <w:szCs w:val="20"/>
              </w:rPr>
              <w:t xml:space="preserve">the access or disclosure is likely to result in </w:t>
            </w:r>
            <w:r w:rsidRPr="00731AAD">
              <w:rPr>
                <w:b/>
                <w:bCs/>
                <w:szCs w:val="20"/>
              </w:rPr>
              <w:t xml:space="preserve">serious harm </w:t>
            </w:r>
            <w:r w:rsidRPr="00731AAD">
              <w:rPr>
                <w:szCs w:val="20"/>
              </w:rPr>
              <w:t xml:space="preserve">to any of the </w:t>
            </w:r>
            <w:r w:rsidRPr="00731AAD">
              <w:rPr>
                <w:b/>
                <w:bCs/>
                <w:szCs w:val="20"/>
              </w:rPr>
              <w:t>individuals</w:t>
            </w:r>
            <w:r w:rsidRPr="00731AAD">
              <w:rPr>
                <w:szCs w:val="20"/>
              </w:rPr>
              <w:t xml:space="preserve"> to whom the information relates; </w:t>
            </w:r>
            <w:r w:rsidRPr="00731AAD">
              <w:rPr>
                <w:b/>
                <w:bCs/>
                <w:szCs w:val="20"/>
              </w:rPr>
              <w:t>or</w:t>
            </w:r>
          </w:p>
          <w:p w14:paraId="282560A7" w14:textId="77777777" w:rsidR="008F4A4D" w:rsidRPr="00731AAD" w:rsidRDefault="0076406B" w:rsidP="00F6450C">
            <w:pPr>
              <w:pStyle w:val="DefinitionNum2"/>
              <w:rPr>
                <w:szCs w:val="20"/>
              </w:rPr>
            </w:pPr>
            <w:r w:rsidRPr="00731AAD">
              <w:rPr>
                <w:szCs w:val="20"/>
              </w:rPr>
              <w:t xml:space="preserve">there has been loss of </w:t>
            </w:r>
            <w:r w:rsidRPr="00731AAD">
              <w:rPr>
                <w:b/>
                <w:bCs/>
                <w:szCs w:val="20"/>
              </w:rPr>
              <w:t xml:space="preserve">personal information </w:t>
            </w:r>
            <w:r w:rsidRPr="00731AAD">
              <w:rPr>
                <w:szCs w:val="20"/>
              </w:rPr>
              <w:t xml:space="preserve">held by an agency that is likely to result in unauthorised access to, or unauthorised disclosure of the personal information, </w:t>
            </w:r>
            <w:r w:rsidRPr="00731AAD">
              <w:rPr>
                <w:b/>
                <w:bCs/>
                <w:szCs w:val="20"/>
              </w:rPr>
              <w:t>and</w:t>
            </w:r>
          </w:p>
          <w:p w14:paraId="3CF9BCC3" w14:textId="77777777" w:rsidR="008F4A4D" w:rsidRPr="00493363" w:rsidRDefault="0076406B" w:rsidP="00F6450C">
            <w:pPr>
              <w:pStyle w:val="DefinitionNum2"/>
              <w:numPr>
                <w:ilvl w:val="0"/>
                <w:numId w:val="0"/>
              </w:numPr>
              <w:ind w:left="567"/>
            </w:pPr>
            <w:r w:rsidRPr="00731AAD">
              <w:rPr>
                <w:szCs w:val="20"/>
              </w:rPr>
              <w:t xml:space="preserve">the loss is likely to result in </w:t>
            </w:r>
            <w:r w:rsidRPr="00731AAD">
              <w:rPr>
                <w:b/>
                <w:bCs/>
                <w:szCs w:val="20"/>
              </w:rPr>
              <w:t xml:space="preserve">serious harm </w:t>
            </w:r>
            <w:r w:rsidRPr="00731AAD">
              <w:rPr>
                <w:szCs w:val="20"/>
              </w:rPr>
              <w:t xml:space="preserve">to any of the </w:t>
            </w:r>
            <w:r w:rsidRPr="00731AAD">
              <w:rPr>
                <w:b/>
                <w:bCs/>
                <w:szCs w:val="20"/>
              </w:rPr>
              <w:t>individuals</w:t>
            </w:r>
            <w:r w:rsidRPr="00731AAD">
              <w:rPr>
                <w:szCs w:val="20"/>
              </w:rPr>
              <w:t xml:space="preserve"> to whom the information relates.</w:t>
            </w:r>
            <w:r>
              <w:t xml:space="preserve"> </w:t>
            </w:r>
          </w:p>
        </w:tc>
      </w:tr>
      <w:tr w:rsidR="000424F3" w14:paraId="44CCFE46" w14:textId="77777777" w:rsidTr="000424F3">
        <w:tc>
          <w:tcPr>
            <w:tcW w:w="1180" w:type="pct"/>
          </w:tcPr>
          <w:p w14:paraId="3A49FE69" w14:textId="77777777" w:rsidR="006719AF" w:rsidRDefault="0076406B" w:rsidP="006719AF">
            <w:pPr>
              <w:pStyle w:val="Definition"/>
            </w:pPr>
            <w:r>
              <w:t>Employee</w:t>
            </w:r>
          </w:p>
        </w:tc>
        <w:tc>
          <w:tcPr>
            <w:tcW w:w="3820" w:type="pct"/>
          </w:tcPr>
          <w:p w14:paraId="43B1E400" w14:textId="77777777" w:rsidR="006719AF" w:rsidRPr="00731AAD" w:rsidRDefault="0076406B" w:rsidP="006719AF">
            <w:pPr>
              <w:spacing w:before="120"/>
              <w:rPr>
                <w:sz w:val="20"/>
                <w:szCs w:val="20"/>
              </w:rPr>
            </w:pPr>
            <w:r w:rsidRPr="00731AAD">
              <w:rPr>
                <w:sz w:val="20"/>
                <w:szCs w:val="20"/>
              </w:rPr>
              <w:t xml:space="preserve">A person who carries out work in any capacity for an agency as defined in section 7 of the </w:t>
            </w:r>
            <w:r w:rsidRPr="00731AAD">
              <w:rPr>
                <w:i/>
                <w:iCs/>
                <w:sz w:val="20"/>
                <w:szCs w:val="20"/>
              </w:rPr>
              <w:t xml:space="preserve">Work Health and Safety Act 2011 </w:t>
            </w:r>
            <w:r w:rsidRPr="00731AAD">
              <w:rPr>
                <w:sz w:val="20"/>
                <w:szCs w:val="20"/>
              </w:rPr>
              <w:t xml:space="preserve">(Qld), including work as: </w:t>
            </w:r>
          </w:p>
          <w:p w14:paraId="1A84B662" w14:textId="77777777" w:rsidR="006719AF" w:rsidRPr="00731AAD" w:rsidRDefault="0076406B" w:rsidP="006719AF">
            <w:pPr>
              <w:pStyle w:val="DefinitionNum2"/>
              <w:rPr>
                <w:szCs w:val="20"/>
              </w:rPr>
            </w:pPr>
            <w:r w:rsidRPr="00731AAD">
              <w:rPr>
                <w:szCs w:val="20"/>
              </w:rPr>
              <w:t>an employee</w:t>
            </w:r>
          </w:p>
          <w:p w14:paraId="70559408" w14:textId="77777777" w:rsidR="006719AF" w:rsidRPr="00731AAD" w:rsidRDefault="0076406B" w:rsidP="006719AF">
            <w:pPr>
              <w:pStyle w:val="DefinitionNum2"/>
              <w:rPr>
                <w:szCs w:val="20"/>
              </w:rPr>
            </w:pPr>
            <w:r w:rsidRPr="00731AAD">
              <w:rPr>
                <w:szCs w:val="20"/>
              </w:rPr>
              <w:t xml:space="preserve">a contractor or subcontractor or an employee of a contractor or subcontractor </w:t>
            </w:r>
          </w:p>
          <w:p w14:paraId="1E1CED38" w14:textId="77777777" w:rsidR="006719AF" w:rsidRPr="00731AAD" w:rsidRDefault="0076406B" w:rsidP="006719AF">
            <w:pPr>
              <w:pStyle w:val="DefinitionNum2"/>
              <w:rPr>
                <w:szCs w:val="20"/>
              </w:rPr>
            </w:pPr>
            <w:r w:rsidRPr="00731AAD">
              <w:rPr>
                <w:szCs w:val="20"/>
              </w:rPr>
              <w:t>an apprentice or trainee</w:t>
            </w:r>
          </w:p>
          <w:p w14:paraId="56C54FFD" w14:textId="77777777" w:rsidR="006719AF" w:rsidRPr="00731AAD" w:rsidRDefault="0076406B" w:rsidP="006719AF">
            <w:pPr>
              <w:pStyle w:val="DefinitionNum2"/>
              <w:rPr>
                <w:szCs w:val="20"/>
              </w:rPr>
            </w:pPr>
            <w:r w:rsidRPr="00731AAD">
              <w:rPr>
                <w:szCs w:val="20"/>
              </w:rPr>
              <w:t>a student gaining work experience, or</w:t>
            </w:r>
          </w:p>
          <w:p w14:paraId="6A9A8429" w14:textId="77777777" w:rsidR="006719AF" w:rsidRPr="006719AF" w:rsidRDefault="0076406B" w:rsidP="006719AF">
            <w:pPr>
              <w:pStyle w:val="DefinitionNum2"/>
            </w:pPr>
            <w:r w:rsidRPr="00731AAD">
              <w:rPr>
                <w:szCs w:val="20"/>
              </w:rPr>
              <w:t>a volunteer.</w:t>
            </w:r>
          </w:p>
        </w:tc>
      </w:tr>
      <w:tr w:rsidR="000424F3" w14:paraId="28AD1880" w14:textId="77777777" w:rsidTr="000424F3">
        <w:tc>
          <w:tcPr>
            <w:tcW w:w="1180" w:type="pct"/>
          </w:tcPr>
          <w:p w14:paraId="0743940E" w14:textId="77777777" w:rsidR="006719AF" w:rsidRDefault="0076406B" w:rsidP="006719AF">
            <w:pPr>
              <w:pStyle w:val="Definition"/>
            </w:pPr>
            <w:r>
              <w:t xml:space="preserve">Information Commissioner </w:t>
            </w:r>
          </w:p>
        </w:tc>
        <w:tc>
          <w:tcPr>
            <w:tcW w:w="3820" w:type="pct"/>
          </w:tcPr>
          <w:p w14:paraId="4693A1A5" w14:textId="77777777" w:rsidR="006719AF" w:rsidRPr="00731AAD" w:rsidRDefault="0076406B" w:rsidP="006719AF">
            <w:pPr>
              <w:spacing w:before="120"/>
              <w:rPr>
                <w:sz w:val="20"/>
                <w:szCs w:val="20"/>
              </w:rPr>
            </w:pPr>
            <w:r w:rsidRPr="00731AAD">
              <w:rPr>
                <w:sz w:val="20"/>
                <w:szCs w:val="20"/>
              </w:rPr>
              <w:t>The Queensland Information Commissioner.</w:t>
            </w:r>
          </w:p>
        </w:tc>
      </w:tr>
      <w:tr w:rsidR="000424F3" w14:paraId="5F371464" w14:textId="77777777" w:rsidTr="000424F3">
        <w:tc>
          <w:tcPr>
            <w:tcW w:w="1180" w:type="pct"/>
          </w:tcPr>
          <w:p w14:paraId="1391AD03" w14:textId="77777777" w:rsidR="006719AF" w:rsidRDefault="0076406B" w:rsidP="006719AF">
            <w:pPr>
              <w:pStyle w:val="Definition"/>
            </w:pPr>
            <w:r>
              <w:t>IP Act</w:t>
            </w:r>
          </w:p>
        </w:tc>
        <w:tc>
          <w:tcPr>
            <w:tcW w:w="3820" w:type="pct"/>
          </w:tcPr>
          <w:p w14:paraId="56A6FCA4" w14:textId="77777777" w:rsidR="006719AF" w:rsidRPr="00731AAD" w:rsidRDefault="0076406B" w:rsidP="006719AF">
            <w:pPr>
              <w:spacing w:before="120"/>
              <w:rPr>
                <w:sz w:val="20"/>
                <w:szCs w:val="20"/>
              </w:rPr>
            </w:pPr>
            <w:r w:rsidRPr="00731AAD">
              <w:rPr>
                <w:bCs/>
                <w:sz w:val="20"/>
                <w:szCs w:val="20"/>
              </w:rPr>
              <w:t>The</w:t>
            </w:r>
            <w:r w:rsidRPr="00731AAD">
              <w:rPr>
                <w:bCs/>
                <w:i/>
                <w:iCs/>
                <w:sz w:val="20"/>
                <w:szCs w:val="20"/>
              </w:rPr>
              <w:t xml:space="preserve"> Information Privacy Act 2009</w:t>
            </w:r>
            <w:r w:rsidRPr="00731AAD">
              <w:rPr>
                <w:bCs/>
                <w:sz w:val="20"/>
                <w:szCs w:val="20"/>
              </w:rPr>
              <w:t xml:space="preserve"> (Qld).</w:t>
            </w:r>
          </w:p>
        </w:tc>
      </w:tr>
      <w:tr w:rsidR="000424F3" w14:paraId="5F9D7BAF" w14:textId="77777777" w:rsidTr="000424F3">
        <w:tc>
          <w:tcPr>
            <w:tcW w:w="1180" w:type="pct"/>
          </w:tcPr>
          <w:p w14:paraId="5F1620FC" w14:textId="77777777" w:rsidR="000C7331" w:rsidRDefault="0076406B" w:rsidP="006719AF">
            <w:pPr>
              <w:pStyle w:val="Definition"/>
            </w:pPr>
            <w:r>
              <w:t>Information security event</w:t>
            </w:r>
          </w:p>
        </w:tc>
        <w:tc>
          <w:tcPr>
            <w:tcW w:w="3820" w:type="pct"/>
          </w:tcPr>
          <w:p w14:paraId="6EFC4986" w14:textId="77777777" w:rsidR="000C7331" w:rsidRPr="00731AAD" w:rsidRDefault="0076406B" w:rsidP="006719AF">
            <w:pPr>
              <w:spacing w:before="120"/>
              <w:rPr>
                <w:bCs/>
                <w:sz w:val="20"/>
                <w:szCs w:val="20"/>
              </w:rPr>
            </w:pPr>
            <w:r w:rsidRPr="00731AAD">
              <w:rPr>
                <w:bCs/>
                <w:sz w:val="20"/>
                <w:szCs w:val="20"/>
              </w:rPr>
              <w:t>An information security ‘event’ is ‘an identified occurrence of a system, service or network state indicating a possible breach of information security, policy or failure of controls, or a previously unknown situation that may be security relevant’ [ISO/IEC 27000:2018].</w:t>
            </w:r>
          </w:p>
        </w:tc>
      </w:tr>
      <w:tr w:rsidR="000424F3" w14:paraId="109D8B4D" w14:textId="77777777" w:rsidTr="000424F3">
        <w:tc>
          <w:tcPr>
            <w:tcW w:w="1180" w:type="pct"/>
          </w:tcPr>
          <w:p w14:paraId="379ED8E4" w14:textId="77777777" w:rsidR="007B0080" w:rsidRDefault="0076406B" w:rsidP="006719AF">
            <w:pPr>
              <w:pStyle w:val="Definition"/>
            </w:pPr>
            <w:r>
              <w:t xml:space="preserve">Information </w:t>
            </w:r>
            <w:r w:rsidR="000C7331">
              <w:t>security</w:t>
            </w:r>
            <w:r>
              <w:t xml:space="preserve"> incident</w:t>
            </w:r>
          </w:p>
        </w:tc>
        <w:tc>
          <w:tcPr>
            <w:tcW w:w="3820" w:type="pct"/>
          </w:tcPr>
          <w:p w14:paraId="63F38761" w14:textId="77777777" w:rsidR="007B0080" w:rsidRPr="00731AAD" w:rsidRDefault="0076406B" w:rsidP="006719AF">
            <w:pPr>
              <w:spacing w:before="120"/>
              <w:rPr>
                <w:bCs/>
                <w:sz w:val="20"/>
                <w:szCs w:val="20"/>
              </w:rPr>
            </w:pPr>
            <w:r w:rsidRPr="00731AAD">
              <w:rPr>
                <w:bCs/>
                <w:sz w:val="20"/>
                <w:szCs w:val="20"/>
              </w:rPr>
              <w:t>An information security ‘incident’ is defined as ‘a single or a series of unwanted or unexpected information security events that have a significant probability of compromising business operations and threatening information security’ [ISO/IEC 27000:2018]</w:t>
            </w:r>
          </w:p>
        </w:tc>
      </w:tr>
      <w:tr w:rsidR="000424F3" w14:paraId="57FE3112" w14:textId="77777777" w:rsidTr="000424F3">
        <w:tc>
          <w:tcPr>
            <w:tcW w:w="1180" w:type="pct"/>
          </w:tcPr>
          <w:p w14:paraId="06F5D481" w14:textId="77777777" w:rsidR="006719AF" w:rsidRDefault="0076406B" w:rsidP="006719AF">
            <w:pPr>
              <w:pStyle w:val="Definition"/>
            </w:pPr>
            <w:r>
              <w:rPr>
                <w:i/>
                <w:iCs/>
              </w:rPr>
              <w:t>H</w:t>
            </w:r>
            <w:r w:rsidRPr="00301E50">
              <w:rPr>
                <w:i/>
                <w:iCs/>
              </w:rPr>
              <w:t>eld</w:t>
            </w:r>
            <w:r>
              <w:t xml:space="preserve"> or </w:t>
            </w:r>
            <w:r w:rsidRPr="00301E50">
              <w:rPr>
                <w:i/>
                <w:iCs/>
              </w:rPr>
              <w:t>hold</w:t>
            </w:r>
            <w:r>
              <w:t xml:space="preserve"> in relation to personal information </w:t>
            </w:r>
          </w:p>
        </w:tc>
        <w:tc>
          <w:tcPr>
            <w:tcW w:w="3820" w:type="pct"/>
          </w:tcPr>
          <w:p w14:paraId="1FE60FF0" w14:textId="77777777" w:rsidR="006719AF" w:rsidRPr="00731AAD" w:rsidRDefault="0076406B" w:rsidP="006719AF">
            <w:pPr>
              <w:spacing w:before="120"/>
              <w:rPr>
                <w:sz w:val="20"/>
                <w:szCs w:val="20"/>
              </w:rPr>
            </w:pPr>
            <w:r w:rsidRPr="00731AAD">
              <w:rPr>
                <w:sz w:val="20"/>
                <w:szCs w:val="20"/>
              </w:rPr>
              <w:t>Personal information is held by a relevant agency, or the agency holds personal information, if the personal information is contained in a document in the possession, or under the control, of the relevant agency.</w:t>
            </w:r>
          </w:p>
        </w:tc>
      </w:tr>
      <w:tr w:rsidR="000424F3" w14:paraId="0467F429" w14:textId="77777777" w:rsidTr="000424F3">
        <w:tc>
          <w:tcPr>
            <w:tcW w:w="1180" w:type="pct"/>
          </w:tcPr>
          <w:p w14:paraId="4DAD52EF" w14:textId="77777777" w:rsidR="006719AF" w:rsidRDefault="0076406B" w:rsidP="006719AF">
            <w:pPr>
              <w:pStyle w:val="Definition"/>
            </w:pPr>
            <w:r>
              <w:t xml:space="preserve">Personal information </w:t>
            </w:r>
          </w:p>
        </w:tc>
        <w:tc>
          <w:tcPr>
            <w:tcW w:w="3820" w:type="pct"/>
          </w:tcPr>
          <w:p w14:paraId="0D537B09" w14:textId="77777777" w:rsidR="006719AF" w:rsidRPr="00731AAD" w:rsidRDefault="0076406B" w:rsidP="006719AF">
            <w:pPr>
              <w:spacing w:before="120"/>
              <w:rPr>
                <w:sz w:val="20"/>
                <w:szCs w:val="20"/>
              </w:rPr>
            </w:pPr>
            <w:r w:rsidRPr="00731AAD">
              <w:rPr>
                <w:sz w:val="20"/>
                <w:szCs w:val="20"/>
              </w:rPr>
              <w:t>Information or an opinion about an identified individual or an individual who is reasonably identifiable from the information or opinion:</w:t>
            </w:r>
          </w:p>
          <w:p w14:paraId="56A3C470" w14:textId="77777777" w:rsidR="006719AF" w:rsidRPr="00731AAD" w:rsidRDefault="0076406B" w:rsidP="006719AF">
            <w:pPr>
              <w:pStyle w:val="DefinitionNum2"/>
              <w:rPr>
                <w:szCs w:val="20"/>
              </w:rPr>
            </w:pPr>
            <w:r w:rsidRPr="00731AAD">
              <w:rPr>
                <w:szCs w:val="20"/>
              </w:rPr>
              <w:t>whether the information or opinion is true or not, and</w:t>
            </w:r>
          </w:p>
          <w:p w14:paraId="63B3D10E" w14:textId="77777777" w:rsidR="006719AF" w:rsidRPr="00731AAD" w:rsidRDefault="0076406B" w:rsidP="006719AF">
            <w:pPr>
              <w:pStyle w:val="DefinitionNum2"/>
              <w:rPr>
                <w:szCs w:val="20"/>
              </w:rPr>
            </w:pPr>
            <w:r w:rsidRPr="00731AAD">
              <w:rPr>
                <w:szCs w:val="20"/>
              </w:rPr>
              <w:t>whether the information or opinion is recorded in a material form or not.</w:t>
            </w:r>
          </w:p>
        </w:tc>
      </w:tr>
      <w:tr w:rsidR="000424F3" w14:paraId="75EE9FE4" w14:textId="77777777" w:rsidTr="000424F3">
        <w:tc>
          <w:tcPr>
            <w:tcW w:w="1180" w:type="pct"/>
          </w:tcPr>
          <w:p w14:paraId="230E75DB" w14:textId="77777777" w:rsidR="006719AF" w:rsidRDefault="0076406B" w:rsidP="006719AF">
            <w:pPr>
              <w:pStyle w:val="Definition"/>
            </w:pPr>
            <w:r w:rsidRPr="0086235B">
              <w:t>Serious harm</w:t>
            </w:r>
            <w:r>
              <w:t xml:space="preserve"> </w:t>
            </w:r>
          </w:p>
        </w:tc>
        <w:tc>
          <w:tcPr>
            <w:tcW w:w="3820" w:type="pct"/>
          </w:tcPr>
          <w:p w14:paraId="7CCC056E" w14:textId="77777777" w:rsidR="006719AF" w:rsidRPr="00731AAD" w:rsidRDefault="0076406B" w:rsidP="006719AF">
            <w:pPr>
              <w:spacing w:before="120"/>
              <w:rPr>
                <w:sz w:val="20"/>
                <w:szCs w:val="20"/>
              </w:rPr>
            </w:pPr>
            <w:r w:rsidRPr="00731AAD">
              <w:rPr>
                <w:sz w:val="20"/>
                <w:szCs w:val="20"/>
              </w:rPr>
              <w:t>To an individual in relation to the unauthorised access or unauthorised disclosure of the individual’s personal information, includes, for example:</w:t>
            </w:r>
          </w:p>
          <w:p w14:paraId="39F959FA" w14:textId="77777777" w:rsidR="006719AF" w:rsidRPr="00731AAD" w:rsidRDefault="0076406B" w:rsidP="006719AF">
            <w:pPr>
              <w:pStyle w:val="DefinitionNum2"/>
              <w:rPr>
                <w:szCs w:val="20"/>
              </w:rPr>
            </w:pPr>
            <w:r w:rsidRPr="00731AAD">
              <w:rPr>
                <w:szCs w:val="20"/>
              </w:rPr>
              <w:lastRenderedPageBreak/>
              <w:t>serious physical, psychological, emotional or financial harm to the individual because of the access or disclosure, or</w:t>
            </w:r>
          </w:p>
          <w:p w14:paraId="2DFD9FF7" w14:textId="77777777" w:rsidR="006719AF" w:rsidRPr="00731AAD" w:rsidRDefault="0076406B" w:rsidP="006719AF">
            <w:pPr>
              <w:pStyle w:val="DefinitionNum2"/>
              <w:rPr>
                <w:szCs w:val="20"/>
              </w:rPr>
            </w:pPr>
            <w:r w:rsidRPr="00731AAD">
              <w:rPr>
                <w:szCs w:val="20"/>
              </w:rPr>
              <w:t>serious harm to the individual’s reputation because of the access or disclosure.</w:t>
            </w:r>
          </w:p>
        </w:tc>
      </w:tr>
    </w:tbl>
    <w:p w14:paraId="5E78F3E0" w14:textId="77777777" w:rsidR="008F4A4D" w:rsidRDefault="008F4A4D" w:rsidP="008668E4"/>
    <w:p w14:paraId="6130B090" w14:textId="77777777" w:rsidR="00574DF6" w:rsidRDefault="0076406B" w:rsidP="00574DF6">
      <w:pPr>
        <w:pStyle w:val="Heading2"/>
        <w:numPr>
          <w:ilvl w:val="0"/>
          <w:numId w:val="6"/>
        </w:numPr>
      </w:pPr>
      <w:r>
        <w:t>Approval and review</w:t>
      </w:r>
    </w:p>
    <w:p w14:paraId="23F27C80" w14:textId="77777777" w:rsidR="008668E4" w:rsidRDefault="0076406B" w:rsidP="008668E4">
      <w:r>
        <w:t>Approved by:</w:t>
      </w:r>
    </w:p>
    <w:p w14:paraId="289EFB77" w14:textId="77777777" w:rsidR="0052193C" w:rsidRDefault="0052193C" w:rsidP="008668E4"/>
    <w:p w14:paraId="7621CA36" w14:textId="77777777" w:rsidR="00574DF6" w:rsidRPr="00574DF6" w:rsidRDefault="0076406B" w:rsidP="008668E4">
      <w:pPr>
        <w:rPr>
          <w:b/>
          <w:bCs/>
        </w:rPr>
      </w:pPr>
      <w:r w:rsidRPr="00574DF6">
        <w:rPr>
          <w:b/>
          <w:bCs/>
        </w:rPr>
        <w:t>Arthur O’Brien</w:t>
      </w:r>
    </w:p>
    <w:p w14:paraId="09576C7C" w14:textId="77777777" w:rsidR="00574DF6" w:rsidRPr="00574DF6" w:rsidRDefault="0076406B" w:rsidP="008668E4">
      <w:pPr>
        <w:rPr>
          <w:b/>
          <w:bCs/>
        </w:rPr>
      </w:pPr>
      <w:r w:rsidRPr="00574DF6">
        <w:rPr>
          <w:b/>
          <w:bCs/>
        </w:rPr>
        <w:t>Acting Director-General</w:t>
      </w:r>
    </w:p>
    <w:p w14:paraId="79E9960D" w14:textId="483A11BB" w:rsidR="00574DF6" w:rsidRDefault="0076406B" w:rsidP="008668E4">
      <w:r>
        <w:t>10 July 2025</w:t>
      </w:r>
    </w:p>
    <w:p w14:paraId="112E7C18" w14:textId="77777777" w:rsidR="00574DF6" w:rsidRDefault="00574DF6" w:rsidP="008668E4"/>
    <w:p w14:paraId="3F5B5280" w14:textId="77777777" w:rsidR="00574DF6" w:rsidRPr="002B7F61" w:rsidRDefault="0076406B" w:rsidP="008668E4">
      <w:r>
        <w:t>Policy to be reviewed in July 2026.</w:t>
      </w:r>
    </w:p>
    <w:sectPr w:rsidR="00574DF6" w:rsidRPr="002B7F61" w:rsidSect="008668E4">
      <w:headerReference w:type="default" r:id="rId12"/>
      <w:footerReference w:type="default" r:id="rId13"/>
      <w:headerReference w:type="first" r:id="rId14"/>
      <w:footerReference w:type="first" r:id="rId15"/>
      <w:type w:val="continuous"/>
      <w:pgSz w:w="11906" w:h="16838" w:code="9"/>
      <w:pgMar w:top="1843"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1956" w14:textId="77777777" w:rsidR="0076406B" w:rsidRDefault="0076406B">
      <w:pPr>
        <w:spacing w:after="0"/>
      </w:pPr>
      <w:r>
        <w:separator/>
      </w:r>
    </w:p>
  </w:endnote>
  <w:endnote w:type="continuationSeparator" w:id="0">
    <w:p w14:paraId="4647ED54" w14:textId="77777777" w:rsidR="0076406B" w:rsidRDefault="00764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C08A" w14:textId="77777777" w:rsidR="00AC5026" w:rsidRDefault="0076406B" w:rsidP="00722F38">
    <w:pPr>
      <w:pStyle w:val="Footer"/>
      <w:jc w:val="center"/>
    </w:pPr>
    <w:r w:rsidRPr="00AC5026">
      <w:fldChar w:fldCharType="begin"/>
    </w:r>
    <w:r w:rsidRPr="00AC5026">
      <w:instrText xml:space="preserve"> PAGE   \* MERGEFORMAT </w:instrText>
    </w:r>
    <w:r w:rsidRPr="00AC5026">
      <w:fldChar w:fldCharType="separate"/>
    </w:r>
    <w:r w:rsidRPr="00AC5026">
      <w:t>6</w:t>
    </w:r>
    <w:r w:rsidRPr="00AC5026">
      <w:fldChar w:fldCharType="end"/>
    </w:r>
  </w:p>
  <w:p w14:paraId="75130F66" w14:textId="77777777" w:rsidR="007171AC" w:rsidRDefault="0076406B" w:rsidP="007171AC">
    <w:pPr>
      <w:pStyle w:val="Footer"/>
    </w:pPr>
    <w:r>
      <w:t>Author: RTI, Privacy Records Management &amp; Redress</w:t>
    </w:r>
  </w:p>
  <w:p w14:paraId="7742AEC4" w14:textId="77777777" w:rsidR="007171AC" w:rsidRPr="00AC5026" w:rsidRDefault="0076406B" w:rsidP="007171AC">
    <w:pPr>
      <w:pStyle w:val="Footer"/>
    </w:pPr>
    <w:r>
      <w:t>Issued: 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DA67" w14:textId="77777777" w:rsidR="00E75DC9" w:rsidRDefault="0076406B" w:rsidP="00AC5026">
    <w:pPr>
      <w:pStyle w:val="Footer"/>
    </w:pPr>
    <w:r>
      <w:rPr>
        <w:noProof/>
      </w:rPr>
      <w:drawing>
        <wp:anchor distT="0" distB="0" distL="114300" distR="114300" simplePos="0" relativeHeight="251658240" behindDoc="1" locked="0" layoutInCell="1" allowOverlap="1" wp14:anchorId="4AB010D0" wp14:editId="5F81D7B9">
          <wp:simplePos x="0" y="0"/>
          <wp:positionH relativeFrom="column">
            <wp:posOffset>-718042</wp:posOffset>
          </wp:positionH>
          <wp:positionV relativeFrom="paragraph">
            <wp:posOffset>-489397</wp:posOffset>
          </wp:positionV>
          <wp:extent cx="7560000" cy="1069200"/>
          <wp:effectExtent l="0" t="0" r="0" b="0"/>
          <wp:wrapNone/>
          <wp:docPr id="172936535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4672" w14:textId="77777777" w:rsidR="0076406B" w:rsidRDefault="0076406B">
      <w:pPr>
        <w:spacing w:after="0"/>
      </w:pPr>
      <w:r>
        <w:separator/>
      </w:r>
    </w:p>
  </w:footnote>
  <w:footnote w:type="continuationSeparator" w:id="0">
    <w:p w14:paraId="71E37D79" w14:textId="77777777" w:rsidR="0076406B" w:rsidRDefault="007640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7B06" w14:textId="77777777" w:rsidR="00722F38" w:rsidRDefault="00722F38">
    <w:pPr>
      <w:pStyle w:val="Header"/>
    </w:pPr>
  </w:p>
  <w:p w14:paraId="1875716B" w14:textId="77777777" w:rsidR="00722F38" w:rsidRDefault="00722F38">
    <w:pPr>
      <w:pStyle w:val="Header"/>
    </w:pPr>
  </w:p>
  <w:p w14:paraId="6C8CE059" w14:textId="77777777" w:rsidR="00722F38" w:rsidRDefault="00722F38">
    <w:pPr>
      <w:pStyle w:val="Header"/>
    </w:pPr>
  </w:p>
  <w:p w14:paraId="7387A54C" w14:textId="77777777" w:rsidR="00B21459" w:rsidRDefault="0076406B">
    <w:pPr>
      <w:pStyle w:val="Header"/>
    </w:pPr>
    <w:r>
      <w:rPr>
        <w:noProof/>
      </w:rPr>
      <w:drawing>
        <wp:anchor distT="0" distB="0" distL="114300" distR="114300" simplePos="0" relativeHeight="251660288" behindDoc="1" locked="1" layoutInCell="1" allowOverlap="1" wp14:anchorId="7095C9DE" wp14:editId="3D6E35EC">
          <wp:simplePos x="0" y="0"/>
          <wp:positionH relativeFrom="column">
            <wp:posOffset>-720090</wp:posOffset>
          </wp:positionH>
          <wp:positionV relativeFrom="page">
            <wp:posOffset>4445</wp:posOffset>
          </wp:positionV>
          <wp:extent cx="7559675" cy="676275"/>
          <wp:effectExtent l="0" t="0" r="0" b="0"/>
          <wp:wrapNone/>
          <wp:docPr id="196206780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r w:rsidR="007171AC">
      <w:t xml:space="preserve">Data </w:t>
    </w:r>
    <w:r w:rsidR="00731AAD">
      <w:t>B</w:t>
    </w:r>
    <w:r w:rsidR="007171AC">
      <w:t xml:space="preserve">reach </w:t>
    </w:r>
    <w:r w:rsidR="00731AAD">
      <w:t>P</w:t>
    </w:r>
    <w:r w:rsidR="007171AC">
      <w:t>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8251" w14:textId="77777777" w:rsidR="00E75DC9" w:rsidRDefault="0076406B">
    <w:pPr>
      <w:pStyle w:val="Header"/>
    </w:pPr>
    <w:r>
      <w:rPr>
        <w:noProof/>
      </w:rPr>
      <w:drawing>
        <wp:anchor distT="0" distB="0" distL="114300" distR="114300" simplePos="0" relativeHeight="251659264" behindDoc="1" locked="1" layoutInCell="1" allowOverlap="1" wp14:anchorId="48176458" wp14:editId="447153FE">
          <wp:simplePos x="0" y="0"/>
          <wp:positionH relativeFrom="column">
            <wp:posOffset>-717550</wp:posOffset>
          </wp:positionH>
          <wp:positionV relativeFrom="page">
            <wp:posOffset>-3810</wp:posOffset>
          </wp:positionV>
          <wp:extent cx="7559675" cy="1205865"/>
          <wp:effectExtent l="0" t="0" r="0" b="635"/>
          <wp:wrapNone/>
          <wp:docPr id="461525803"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00B94"/>
    <w:multiLevelType w:val="multilevel"/>
    <w:tmpl w:val="F40E3E3C"/>
    <w:styleLink w:val="CUNumber"/>
    <w:lvl w:ilvl="0">
      <w:start w:val="1"/>
      <w:numFmt w:val="decimal"/>
      <w:pStyle w:val="CUNumber1"/>
      <w:lvlText w:val="%1."/>
      <w:lvlJc w:val="left"/>
      <w:pPr>
        <w:tabs>
          <w:tab w:val="num" w:pos="964"/>
        </w:tabs>
        <w:ind w:left="964" w:hanging="964"/>
      </w:pPr>
      <w:rPr>
        <w:rFonts w:hint="default"/>
        <w:b/>
        <w:i w:val="0"/>
        <w:caps/>
        <w:color w:val="00447C"/>
        <w:sz w:val="22"/>
        <w:szCs w:val="22"/>
        <w:u w:val="none"/>
      </w:rPr>
    </w:lvl>
    <w:lvl w:ilvl="1">
      <w:start w:val="1"/>
      <w:numFmt w:val="decimal"/>
      <w:pStyle w:val="CUNumber2"/>
      <w:lvlText w:val="%1.%2"/>
      <w:lvlJc w:val="left"/>
      <w:pPr>
        <w:tabs>
          <w:tab w:val="num" w:pos="964"/>
        </w:tabs>
        <w:ind w:left="964" w:hanging="964"/>
      </w:pPr>
      <w:rPr>
        <w:rFonts w:ascii="Arial Bold" w:hAnsi="Arial Bold" w:hint="default"/>
        <w:b/>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54B3E59"/>
    <w:multiLevelType w:val="multilevel"/>
    <w:tmpl w:val="7D28F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A2D4B"/>
    <w:multiLevelType w:val="multilevel"/>
    <w:tmpl w:val="5072B38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D622E6"/>
    <w:multiLevelType w:val="multilevel"/>
    <w:tmpl w:val="7D28F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A4328F"/>
    <w:multiLevelType w:val="multilevel"/>
    <w:tmpl w:val="8D72BFF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467485"/>
    <w:multiLevelType w:val="hybridMultilevel"/>
    <w:tmpl w:val="B6BA7F64"/>
    <w:lvl w:ilvl="0" w:tplc="CBD4209A">
      <w:start w:val="1"/>
      <w:numFmt w:val="bullet"/>
      <w:lvlText w:val="o"/>
      <w:lvlJc w:val="left"/>
      <w:pPr>
        <w:ind w:left="1080" w:hanging="360"/>
      </w:pPr>
      <w:rPr>
        <w:rFonts w:ascii="Courier New" w:hAnsi="Courier New" w:cs="Courier New" w:hint="default"/>
      </w:rPr>
    </w:lvl>
    <w:lvl w:ilvl="1" w:tplc="2B4EDEAC" w:tentative="1">
      <w:start w:val="1"/>
      <w:numFmt w:val="bullet"/>
      <w:lvlText w:val="o"/>
      <w:lvlJc w:val="left"/>
      <w:pPr>
        <w:ind w:left="1800" w:hanging="360"/>
      </w:pPr>
      <w:rPr>
        <w:rFonts w:ascii="Courier New" w:hAnsi="Courier New" w:cs="Courier New" w:hint="default"/>
      </w:rPr>
    </w:lvl>
    <w:lvl w:ilvl="2" w:tplc="F83CD194" w:tentative="1">
      <w:start w:val="1"/>
      <w:numFmt w:val="bullet"/>
      <w:lvlText w:val=""/>
      <w:lvlJc w:val="left"/>
      <w:pPr>
        <w:ind w:left="2520" w:hanging="360"/>
      </w:pPr>
      <w:rPr>
        <w:rFonts w:ascii="Wingdings" w:hAnsi="Wingdings" w:hint="default"/>
      </w:rPr>
    </w:lvl>
    <w:lvl w:ilvl="3" w:tplc="9F0E79A0" w:tentative="1">
      <w:start w:val="1"/>
      <w:numFmt w:val="bullet"/>
      <w:lvlText w:val=""/>
      <w:lvlJc w:val="left"/>
      <w:pPr>
        <w:ind w:left="3240" w:hanging="360"/>
      </w:pPr>
      <w:rPr>
        <w:rFonts w:ascii="Symbol" w:hAnsi="Symbol" w:hint="default"/>
      </w:rPr>
    </w:lvl>
    <w:lvl w:ilvl="4" w:tplc="73D89846" w:tentative="1">
      <w:start w:val="1"/>
      <w:numFmt w:val="bullet"/>
      <w:lvlText w:val="o"/>
      <w:lvlJc w:val="left"/>
      <w:pPr>
        <w:ind w:left="3960" w:hanging="360"/>
      </w:pPr>
      <w:rPr>
        <w:rFonts w:ascii="Courier New" w:hAnsi="Courier New" w:cs="Courier New" w:hint="default"/>
      </w:rPr>
    </w:lvl>
    <w:lvl w:ilvl="5" w:tplc="29646CC8" w:tentative="1">
      <w:start w:val="1"/>
      <w:numFmt w:val="bullet"/>
      <w:lvlText w:val=""/>
      <w:lvlJc w:val="left"/>
      <w:pPr>
        <w:ind w:left="4680" w:hanging="360"/>
      </w:pPr>
      <w:rPr>
        <w:rFonts w:ascii="Wingdings" w:hAnsi="Wingdings" w:hint="default"/>
      </w:rPr>
    </w:lvl>
    <w:lvl w:ilvl="6" w:tplc="CB8EB478" w:tentative="1">
      <w:start w:val="1"/>
      <w:numFmt w:val="bullet"/>
      <w:lvlText w:val=""/>
      <w:lvlJc w:val="left"/>
      <w:pPr>
        <w:ind w:left="5400" w:hanging="360"/>
      </w:pPr>
      <w:rPr>
        <w:rFonts w:ascii="Symbol" w:hAnsi="Symbol" w:hint="default"/>
      </w:rPr>
    </w:lvl>
    <w:lvl w:ilvl="7" w:tplc="0F64BBAE" w:tentative="1">
      <w:start w:val="1"/>
      <w:numFmt w:val="bullet"/>
      <w:lvlText w:val="o"/>
      <w:lvlJc w:val="left"/>
      <w:pPr>
        <w:ind w:left="6120" w:hanging="360"/>
      </w:pPr>
      <w:rPr>
        <w:rFonts w:ascii="Courier New" w:hAnsi="Courier New" w:cs="Courier New" w:hint="default"/>
      </w:rPr>
    </w:lvl>
    <w:lvl w:ilvl="8" w:tplc="7466DCCE" w:tentative="1">
      <w:start w:val="1"/>
      <w:numFmt w:val="bullet"/>
      <w:lvlText w:val=""/>
      <w:lvlJc w:val="left"/>
      <w:pPr>
        <w:ind w:left="6840" w:hanging="360"/>
      </w:pPr>
      <w:rPr>
        <w:rFonts w:ascii="Wingdings" w:hAnsi="Wingdings" w:hint="default"/>
      </w:rPr>
    </w:lvl>
  </w:abstractNum>
  <w:abstractNum w:abstractNumId="8" w15:restartNumberingAfterBreak="0">
    <w:nsid w:val="4DB85624"/>
    <w:multiLevelType w:val="multilevel"/>
    <w:tmpl w:val="B372C442"/>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9" w15:restartNumberingAfterBreak="0">
    <w:nsid w:val="4DBF5AC4"/>
    <w:multiLevelType w:val="multilevel"/>
    <w:tmpl w:val="5DBEC88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ECF2678"/>
    <w:multiLevelType w:val="multilevel"/>
    <w:tmpl w:val="8B9093A4"/>
    <w:styleLink w:val="CUDefinitions"/>
    <w:lvl w:ilvl="0">
      <w:numFmt w:val="none"/>
      <w:pStyle w:val="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Arial" w:hAnsi="Arial" w:hint="default"/>
        <w:b w:val="0"/>
        <w:i w:val="0"/>
        <w:sz w:val="20"/>
        <w:szCs w:val="22"/>
        <w:u w:val="none"/>
      </w:rPr>
    </w:lvl>
    <w:lvl w:ilvl="2">
      <w:start w:val="1"/>
      <w:numFmt w:val="lowerRoman"/>
      <w:pStyle w:val="DefinitionNum3"/>
      <w:lvlText w:val="(%3)"/>
      <w:lvlJc w:val="left"/>
      <w:pPr>
        <w:tabs>
          <w:tab w:val="num" w:pos="1134"/>
        </w:tabs>
        <w:ind w:left="1134" w:hanging="567"/>
      </w:pPr>
      <w:rPr>
        <w:rFonts w:ascii="Arial" w:hAnsi="Arial" w:hint="default"/>
        <w:b w:val="0"/>
        <w:i w:val="0"/>
        <w:sz w:val="20"/>
        <w:u w:val="none"/>
      </w:rPr>
    </w:lvl>
    <w:lvl w:ilvl="3">
      <w:start w:val="1"/>
      <w:numFmt w:val="upperLetter"/>
      <w:pStyle w:val="DefinitionNum4"/>
      <w:lvlText w:val="%4."/>
      <w:lvlJc w:val="left"/>
      <w:pPr>
        <w:tabs>
          <w:tab w:val="num" w:pos="1701"/>
        </w:tabs>
        <w:ind w:left="1701" w:hanging="567"/>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4F8F5B1A"/>
    <w:multiLevelType w:val="multilevel"/>
    <w:tmpl w:val="7D28F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3E48A0"/>
    <w:multiLevelType w:val="multilevel"/>
    <w:tmpl w:val="7D28F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84A65"/>
    <w:multiLevelType w:val="multilevel"/>
    <w:tmpl w:val="9C16A6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33E1A5A"/>
    <w:multiLevelType w:val="hybridMultilevel"/>
    <w:tmpl w:val="6B00543E"/>
    <w:lvl w:ilvl="0" w:tplc="08AE6B32">
      <w:start w:val="1"/>
      <w:numFmt w:val="decimal"/>
      <w:lvlText w:val="%1."/>
      <w:lvlJc w:val="left"/>
      <w:pPr>
        <w:ind w:left="360" w:hanging="360"/>
      </w:pPr>
      <w:rPr>
        <w:rFonts w:hint="default"/>
      </w:rPr>
    </w:lvl>
    <w:lvl w:ilvl="1" w:tplc="E7986A14">
      <w:start w:val="1"/>
      <w:numFmt w:val="lowerLetter"/>
      <w:lvlText w:val="%2."/>
      <w:lvlJc w:val="left"/>
      <w:pPr>
        <w:ind w:left="1080" w:hanging="360"/>
      </w:pPr>
    </w:lvl>
    <w:lvl w:ilvl="2" w:tplc="1B2018B2" w:tentative="1">
      <w:start w:val="1"/>
      <w:numFmt w:val="lowerRoman"/>
      <w:lvlText w:val="%3."/>
      <w:lvlJc w:val="right"/>
      <w:pPr>
        <w:ind w:left="1800" w:hanging="180"/>
      </w:pPr>
    </w:lvl>
    <w:lvl w:ilvl="3" w:tplc="AEAEEC50" w:tentative="1">
      <w:start w:val="1"/>
      <w:numFmt w:val="decimal"/>
      <w:lvlText w:val="%4."/>
      <w:lvlJc w:val="left"/>
      <w:pPr>
        <w:ind w:left="2520" w:hanging="360"/>
      </w:pPr>
    </w:lvl>
    <w:lvl w:ilvl="4" w:tplc="7CFC628A" w:tentative="1">
      <w:start w:val="1"/>
      <w:numFmt w:val="lowerLetter"/>
      <w:lvlText w:val="%5."/>
      <w:lvlJc w:val="left"/>
      <w:pPr>
        <w:ind w:left="3240" w:hanging="360"/>
      </w:pPr>
    </w:lvl>
    <w:lvl w:ilvl="5" w:tplc="A6EE83F2" w:tentative="1">
      <w:start w:val="1"/>
      <w:numFmt w:val="lowerRoman"/>
      <w:lvlText w:val="%6."/>
      <w:lvlJc w:val="right"/>
      <w:pPr>
        <w:ind w:left="3960" w:hanging="180"/>
      </w:pPr>
    </w:lvl>
    <w:lvl w:ilvl="6" w:tplc="65FA8804" w:tentative="1">
      <w:start w:val="1"/>
      <w:numFmt w:val="decimal"/>
      <w:lvlText w:val="%7."/>
      <w:lvlJc w:val="left"/>
      <w:pPr>
        <w:ind w:left="4680" w:hanging="360"/>
      </w:pPr>
    </w:lvl>
    <w:lvl w:ilvl="7" w:tplc="9E7EAE8A" w:tentative="1">
      <w:start w:val="1"/>
      <w:numFmt w:val="lowerLetter"/>
      <w:lvlText w:val="%8."/>
      <w:lvlJc w:val="left"/>
      <w:pPr>
        <w:ind w:left="5400" w:hanging="360"/>
      </w:pPr>
    </w:lvl>
    <w:lvl w:ilvl="8" w:tplc="87D8D324" w:tentative="1">
      <w:start w:val="1"/>
      <w:numFmt w:val="lowerRoman"/>
      <w:lvlText w:val="%9."/>
      <w:lvlJc w:val="right"/>
      <w:pPr>
        <w:ind w:left="6120" w:hanging="180"/>
      </w:pPr>
    </w:lvl>
  </w:abstractNum>
  <w:abstractNum w:abstractNumId="15" w15:restartNumberingAfterBreak="0">
    <w:nsid w:val="765151C4"/>
    <w:multiLevelType w:val="multilevel"/>
    <w:tmpl w:val="5072B38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123746"/>
    <w:multiLevelType w:val="multilevel"/>
    <w:tmpl w:val="7D28FD06"/>
    <w:lvl w:ilvl="0">
      <w:start w:val="1"/>
      <w:numFmt w:val="bullet"/>
      <w:lvlText w:val=""/>
      <w:lvlJc w:val="left"/>
      <w:pPr>
        <w:ind w:left="-338" w:hanging="360"/>
      </w:pPr>
      <w:rPr>
        <w:rFonts w:ascii="Symbol" w:hAnsi="Symbol" w:hint="default"/>
      </w:rPr>
    </w:lvl>
    <w:lvl w:ilvl="1">
      <w:start w:val="1"/>
      <w:numFmt w:val="bullet"/>
      <w:lvlText w:val=""/>
      <w:lvlJc w:val="left"/>
      <w:pPr>
        <w:ind w:left="22" w:hanging="360"/>
      </w:pPr>
      <w:rPr>
        <w:rFonts w:ascii="Symbol" w:hAnsi="Symbol" w:hint="default"/>
      </w:rPr>
    </w:lvl>
    <w:lvl w:ilvl="2">
      <w:start w:val="1"/>
      <w:numFmt w:val="decimal"/>
      <w:lvlText w:val="%1.%2.%3"/>
      <w:lvlJc w:val="left"/>
      <w:pPr>
        <w:ind w:left="22" w:hanging="720"/>
      </w:pPr>
      <w:rPr>
        <w:rFonts w:hint="default"/>
      </w:rPr>
    </w:lvl>
    <w:lvl w:ilvl="3">
      <w:start w:val="1"/>
      <w:numFmt w:val="decimal"/>
      <w:lvlText w:val="%1.%2.%3.%4"/>
      <w:lvlJc w:val="left"/>
      <w:pPr>
        <w:ind w:left="22" w:hanging="720"/>
      </w:pPr>
      <w:rPr>
        <w:rFonts w:hint="default"/>
      </w:rPr>
    </w:lvl>
    <w:lvl w:ilvl="4">
      <w:start w:val="1"/>
      <w:numFmt w:val="decimal"/>
      <w:lvlText w:val="%1.%2.%3.%4.%5"/>
      <w:lvlJc w:val="left"/>
      <w:pPr>
        <w:ind w:left="382" w:hanging="1080"/>
      </w:pPr>
      <w:rPr>
        <w:rFonts w:hint="default"/>
      </w:rPr>
    </w:lvl>
    <w:lvl w:ilvl="5">
      <w:start w:val="1"/>
      <w:numFmt w:val="decimal"/>
      <w:lvlText w:val="%1.%2.%3.%4.%5.%6"/>
      <w:lvlJc w:val="left"/>
      <w:pPr>
        <w:ind w:left="382" w:hanging="1080"/>
      </w:pPr>
      <w:rPr>
        <w:rFonts w:hint="default"/>
      </w:rPr>
    </w:lvl>
    <w:lvl w:ilvl="6">
      <w:start w:val="1"/>
      <w:numFmt w:val="decimal"/>
      <w:lvlText w:val="%1.%2.%3.%4.%5.%6.%7"/>
      <w:lvlJc w:val="left"/>
      <w:pPr>
        <w:ind w:left="742" w:hanging="1440"/>
      </w:pPr>
      <w:rPr>
        <w:rFonts w:hint="default"/>
      </w:rPr>
    </w:lvl>
    <w:lvl w:ilvl="7">
      <w:start w:val="1"/>
      <w:numFmt w:val="decimal"/>
      <w:lvlText w:val="%1.%2.%3.%4.%5.%6.%7.%8"/>
      <w:lvlJc w:val="left"/>
      <w:pPr>
        <w:ind w:left="742" w:hanging="1440"/>
      </w:pPr>
      <w:rPr>
        <w:rFonts w:hint="default"/>
      </w:rPr>
    </w:lvl>
    <w:lvl w:ilvl="8">
      <w:start w:val="1"/>
      <w:numFmt w:val="decimal"/>
      <w:lvlText w:val="%1.%2.%3.%4.%5.%6.%7.%8.%9"/>
      <w:lvlJc w:val="left"/>
      <w:pPr>
        <w:ind w:left="1102" w:hanging="1800"/>
      </w:pPr>
      <w:rPr>
        <w:rFonts w:hint="default"/>
      </w:rPr>
    </w:lvl>
  </w:abstractNum>
  <w:abstractNum w:abstractNumId="17" w15:restartNumberingAfterBreak="0">
    <w:nsid w:val="7B1A77E0"/>
    <w:multiLevelType w:val="hybridMultilevel"/>
    <w:tmpl w:val="3F82C126"/>
    <w:lvl w:ilvl="0" w:tplc="256CE196">
      <w:start w:val="1"/>
      <w:numFmt w:val="bullet"/>
      <w:lvlText w:val=""/>
      <w:lvlJc w:val="left"/>
      <w:pPr>
        <w:ind w:left="720" w:hanging="360"/>
      </w:pPr>
      <w:rPr>
        <w:rFonts w:ascii="Symbol" w:hAnsi="Symbol" w:hint="default"/>
      </w:rPr>
    </w:lvl>
    <w:lvl w:ilvl="1" w:tplc="E65044A6" w:tentative="1">
      <w:start w:val="1"/>
      <w:numFmt w:val="bullet"/>
      <w:lvlText w:val="o"/>
      <w:lvlJc w:val="left"/>
      <w:pPr>
        <w:ind w:left="1440" w:hanging="360"/>
      </w:pPr>
      <w:rPr>
        <w:rFonts w:ascii="Courier New" w:hAnsi="Courier New" w:cs="Courier New" w:hint="default"/>
      </w:rPr>
    </w:lvl>
    <w:lvl w:ilvl="2" w:tplc="ECF4E922" w:tentative="1">
      <w:start w:val="1"/>
      <w:numFmt w:val="bullet"/>
      <w:lvlText w:val=""/>
      <w:lvlJc w:val="left"/>
      <w:pPr>
        <w:ind w:left="2160" w:hanging="360"/>
      </w:pPr>
      <w:rPr>
        <w:rFonts w:ascii="Wingdings" w:hAnsi="Wingdings" w:hint="default"/>
      </w:rPr>
    </w:lvl>
    <w:lvl w:ilvl="3" w:tplc="63508FFE" w:tentative="1">
      <w:start w:val="1"/>
      <w:numFmt w:val="bullet"/>
      <w:lvlText w:val=""/>
      <w:lvlJc w:val="left"/>
      <w:pPr>
        <w:ind w:left="2880" w:hanging="360"/>
      </w:pPr>
      <w:rPr>
        <w:rFonts w:ascii="Symbol" w:hAnsi="Symbol" w:hint="default"/>
      </w:rPr>
    </w:lvl>
    <w:lvl w:ilvl="4" w:tplc="AE18471E" w:tentative="1">
      <w:start w:val="1"/>
      <w:numFmt w:val="bullet"/>
      <w:lvlText w:val="o"/>
      <w:lvlJc w:val="left"/>
      <w:pPr>
        <w:ind w:left="3600" w:hanging="360"/>
      </w:pPr>
      <w:rPr>
        <w:rFonts w:ascii="Courier New" w:hAnsi="Courier New" w:cs="Courier New" w:hint="default"/>
      </w:rPr>
    </w:lvl>
    <w:lvl w:ilvl="5" w:tplc="C33A3568" w:tentative="1">
      <w:start w:val="1"/>
      <w:numFmt w:val="bullet"/>
      <w:lvlText w:val=""/>
      <w:lvlJc w:val="left"/>
      <w:pPr>
        <w:ind w:left="4320" w:hanging="360"/>
      </w:pPr>
      <w:rPr>
        <w:rFonts w:ascii="Wingdings" w:hAnsi="Wingdings" w:hint="default"/>
      </w:rPr>
    </w:lvl>
    <w:lvl w:ilvl="6" w:tplc="3C2239DC" w:tentative="1">
      <w:start w:val="1"/>
      <w:numFmt w:val="bullet"/>
      <w:lvlText w:val=""/>
      <w:lvlJc w:val="left"/>
      <w:pPr>
        <w:ind w:left="5040" w:hanging="360"/>
      </w:pPr>
      <w:rPr>
        <w:rFonts w:ascii="Symbol" w:hAnsi="Symbol" w:hint="default"/>
      </w:rPr>
    </w:lvl>
    <w:lvl w:ilvl="7" w:tplc="199E291A" w:tentative="1">
      <w:start w:val="1"/>
      <w:numFmt w:val="bullet"/>
      <w:lvlText w:val="o"/>
      <w:lvlJc w:val="left"/>
      <w:pPr>
        <w:ind w:left="5760" w:hanging="360"/>
      </w:pPr>
      <w:rPr>
        <w:rFonts w:ascii="Courier New" w:hAnsi="Courier New" w:cs="Courier New" w:hint="default"/>
      </w:rPr>
    </w:lvl>
    <w:lvl w:ilvl="8" w:tplc="3196AB10" w:tentative="1">
      <w:start w:val="1"/>
      <w:numFmt w:val="bullet"/>
      <w:lvlText w:val=""/>
      <w:lvlJc w:val="left"/>
      <w:pPr>
        <w:ind w:left="6480" w:hanging="360"/>
      </w:pPr>
      <w:rPr>
        <w:rFonts w:ascii="Wingdings" w:hAnsi="Wingdings" w:hint="default"/>
      </w:rPr>
    </w:lvl>
  </w:abstractNum>
  <w:abstractNum w:abstractNumId="18" w15:restartNumberingAfterBreak="0">
    <w:nsid w:val="7FB05C8F"/>
    <w:multiLevelType w:val="multilevel"/>
    <w:tmpl w:val="7D28F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9267054">
    <w:abstractNumId w:val="1"/>
  </w:num>
  <w:num w:numId="2" w16cid:durableId="1364862796">
    <w:abstractNumId w:val="0"/>
  </w:num>
  <w:num w:numId="3" w16cid:durableId="312489458">
    <w:abstractNumId w:val="10"/>
  </w:num>
  <w:num w:numId="4" w16cid:durableId="789740424">
    <w:abstractNumId w:val="8"/>
  </w:num>
  <w:num w:numId="5" w16cid:durableId="189949874">
    <w:abstractNumId w:val="2"/>
    <w:lvlOverride w:ilvl="0">
      <w:lvl w:ilvl="0">
        <w:start w:val="1"/>
        <w:numFmt w:val="decimal"/>
        <w:pStyle w:val="CUNumber1"/>
        <w:lvlText w:val="%1."/>
        <w:lvlJc w:val="left"/>
        <w:pPr>
          <w:tabs>
            <w:tab w:val="num" w:pos="964"/>
          </w:tabs>
          <w:ind w:left="964" w:hanging="964"/>
        </w:pPr>
        <w:rPr>
          <w:rFonts w:hint="default"/>
          <w:b/>
          <w:i w:val="0"/>
          <w:caps/>
          <w:color w:val="00447C"/>
          <w:sz w:val="22"/>
          <w:szCs w:val="22"/>
          <w:u w:val="none"/>
        </w:rPr>
      </w:lvl>
    </w:lvlOverride>
    <w:lvlOverride w:ilvl="1">
      <w:lvl w:ilvl="1">
        <w:start w:val="1"/>
        <w:numFmt w:val="decimal"/>
        <w:pStyle w:val="CUNumber2"/>
        <w:lvlText w:val="%1.%2"/>
        <w:lvlJc w:val="left"/>
        <w:pPr>
          <w:tabs>
            <w:tab w:val="num" w:pos="964"/>
          </w:tabs>
          <w:ind w:left="964" w:hanging="964"/>
        </w:pPr>
        <w:rPr>
          <w:rFonts w:ascii="Arial Bold" w:hAnsi="Arial Bold" w:hint="default"/>
          <w:b/>
          <w:i w:val="0"/>
          <w:color w:val="061B74"/>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 w16cid:durableId="1961066011">
    <w:abstractNumId w:val="14"/>
  </w:num>
  <w:num w:numId="7" w16cid:durableId="523137363">
    <w:abstractNumId w:val="13"/>
  </w:num>
  <w:num w:numId="8" w16cid:durableId="1557160795">
    <w:abstractNumId w:val="17"/>
  </w:num>
  <w:num w:numId="9" w16cid:durableId="984698583">
    <w:abstractNumId w:val="12"/>
  </w:num>
  <w:num w:numId="10" w16cid:durableId="1540360245">
    <w:abstractNumId w:val="18"/>
  </w:num>
  <w:num w:numId="11" w16cid:durableId="189225632">
    <w:abstractNumId w:val="6"/>
  </w:num>
  <w:num w:numId="12" w16cid:durableId="2043825949">
    <w:abstractNumId w:val="16"/>
  </w:num>
  <w:num w:numId="13" w16cid:durableId="653989662">
    <w:abstractNumId w:val="5"/>
  </w:num>
  <w:num w:numId="14" w16cid:durableId="1248534039">
    <w:abstractNumId w:val="11"/>
  </w:num>
  <w:num w:numId="15" w16cid:durableId="350759579">
    <w:abstractNumId w:val="3"/>
  </w:num>
  <w:num w:numId="16" w16cid:durableId="1686976221">
    <w:abstractNumId w:val="4"/>
  </w:num>
  <w:num w:numId="17" w16cid:durableId="793057648">
    <w:abstractNumId w:val="15"/>
  </w:num>
  <w:num w:numId="18" w16cid:durableId="1350830932">
    <w:abstractNumId w:val="9"/>
  </w:num>
  <w:num w:numId="19" w16cid:durableId="112673440">
    <w:abstractNumId w:val="7"/>
  </w:num>
  <w:num w:numId="20" w16cid:durableId="100462788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1261"/>
    <w:rsid w:val="000424F3"/>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2997"/>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C7331"/>
    <w:rsid w:val="000D04E0"/>
    <w:rsid w:val="000D0827"/>
    <w:rsid w:val="000D0974"/>
    <w:rsid w:val="000D19B1"/>
    <w:rsid w:val="000D3398"/>
    <w:rsid w:val="000D5B90"/>
    <w:rsid w:val="000E2881"/>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5EE6"/>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2D0"/>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37B03"/>
    <w:rsid w:val="00240804"/>
    <w:rsid w:val="00240EC4"/>
    <w:rsid w:val="00241526"/>
    <w:rsid w:val="00245995"/>
    <w:rsid w:val="0024637B"/>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59E"/>
    <w:rsid w:val="00275AD5"/>
    <w:rsid w:val="0027697C"/>
    <w:rsid w:val="00277AF1"/>
    <w:rsid w:val="002811EA"/>
    <w:rsid w:val="002813D9"/>
    <w:rsid w:val="002816CF"/>
    <w:rsid w:val="00281A08"/>
    <w:rsid w:val="00281F84"/>
    <w:rsid w:val="00283014"/>
    <w:rsid w:val="00285023"/>
    <w:rsid w:val="00286E98"/>
    <w:rsid w:val="002873EE"/>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B7F61"/>
    <w:rsid w:val="002C00E2"/>
    <w:rsid w:val="002C031A"/>
    <w:rsid w:val="002C2056"/>
    <w:rsid w:val="002C36FB"/>
    <w:rsid w:val="002C4A3F"/>
    <w:rsid w:val="002C5874"/>
    <w:rsid w:val="002C5B5D"/>
    <w:rsid w:val="002C6264"/>
    <w:rsid w:val="002C6EEF"/>
    <w:rsid w:val="002C74C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1E50"/>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6D4"/>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6022"/>
    <w:rsid w:val="00367AE0"/>
    <w:rsid w:val="00371733"/>
    <w:rsid w:val="0037231E"/>
    <w:rsid w:val="003730EC"/>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19B9"/>
    <w:rsid w:val="003A1B5A"/>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213"/>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0A73"/>
    <w:rsid w:val="0040413B"/>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4D78"/>
    <w:rsid w:val="00435490"/>
    <w:rsid w:val="0043550B"/>
    <w:rsid w:val="00435529"/>
    <w:rsid w:val="004366A2"/>
    <w:rsid w:val="00441907"/>
    <w:rsid w:val="00441A36"/>
    <w:rsid w:val="00443858"/>
    <w:rsid w:val="00443AB1"/>
    <w:rsid w:val="00445AAA"/>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3363"/>
    <w:rsid w:val="004952AC"/>
    <w:rsid w:val="00495E9E"/>
    <w:rsid w:val="00495F66"/>
    <w:rsid w:val="00497988"/>
    <w:rsid w:val="004A126A"/>
    <w:rsid w:val="004A1922"/>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8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93C"/>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129"/>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4DF6"/>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046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00A9"/>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19AF"/>
    <w:rsid w:val="00673A4C"/>
    <w:rsid w:val="00673FDF"/>
    <w:rsid w:val="00676CAF"/>
    <w:rsid w:val="006771E9"/>
    <w:rsid w:val="0067778E"/>
    <w:rsid w:val="00680461"/>
    <w:rsid w:val="006804DF"/>
    <w:rsid w:val="006839CE"/>
    <w:rsid w:val="00684D10"/>
    <w:rsid w:val="00685DEE"/>
    <w:rsid w:val="00687024"/>
    <w:rsid w:val="00687A7A"/>
    <w:rsid w:val="00690BEB"/>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384"/>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4882"/>
    <w:rsid w:val="0070605F"/>
    <w:rsid w:val="00710178"/>
    <w:rsid w:val="00713427"/>
    <w:rsid w:val="00713F81"/>
    <w:rsid w:val="007152E6"/>
    <w:rsid w:val="0071602D"/>
    <w:rsid w:val="007171AC"/>
    <w:rsid w:val="007177B2"/>
    <w:rsid w:val="007225BE"/>
    <w:rsid w:val="00722F38"/>
    <w:rsid w:val="00724AF6"/>
    <w:rsid w:val="00731AAD"/>
    <w:rsid w:val="00731F8F"/>
    <w:rsid w:val="007332B1"/>
    <w:rsid w:val="00733823"/>
    <w:rsid w:val="00735225"/>
    <w:rsid w:val="00742DC7"/>
    <w:rsid w:val="007430DB"/>
    <w:rsid w:val="0074685F"/>
    <w:rsid w:val="0075120E"/>
    <w:rsid w:val="00751F44"/>
    <w:rsid w:val="00754EE8"/>
    <w:rsid w:val="0075588A"/>
    <w:rsid w:val="00755FCA"/>
    <w:rsid w:val="00756B74"/>
    <w:rsid w:val="00757439"/>
    <w:rsid w:val="0076206D"/>
    <w:rsid w:val="007628BE"/>
    <w:rsid w:val="00763406"/>
    <w:rsid w:val="0076406B"/>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34B6"/>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0C5"/>
    <w:rsid w:val="007A68A7"/>
    <w:rsid w:val="007A7C47"/>
    <w:rsid w:val="007B0080"/>
    <w:rsid w:val="007B0C49"/>
    <w:rsid w:val="007B2537"/>
    <w:rsid w:val="007B28EA"/>
    <w:rsid w:val="007B371E"/>
    <w:rsid w:val="007B559A"/>
    <w:rsid w:val="007B6AAC"/>
    <w:rsid w:val="007B75E2"/>
    <w:rsid w:val="007B7910"/>
    <w:rsid w:val="007C0036"/>
    <w:rsid w:val="007C2657"/>
    <w:rsid w:val="007C281C"/>
    <w:rsid w:val="007C3EEE"/>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1946"/>
    <w:rsid w:val="0086202D"/>
    <w:rsid w:val="0086235B"/>
    <w:rsid w:val="00863899"/>
    <w:rsid w:val="008639A2"/>
    <w:rsid w:val="008668E4"/>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4059"/>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4A4D"/>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3BA"/>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9F5B2A"/>
    <w:rsid w:val="00A01078"/>
    <w:rsid w:val="00A01C47"/>
    <w:rsid w:val="00A01C84"/>
    <w:rsid w:val="00A03D81"/>
    <w:rsid w:val="00A0606D"/>
    <w:rsid w:val="00A105C2"/>
    <w:rsid w:val="00A1080B"/>
    <w:rsid w:val="00A10FBF"/>
    <w:rsid w:val="00A117F8"/>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4371"/>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7DB6"/>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5C8"/>
    <w:rsid w:val="00B70838"/>
    <w:rsid w:val="00B746AB"/>
    <w:rsid w:val="00B74C9B"/>
    <w:rsid w:val="00B759B6"/>
    <w:rsid w:val="00B75BC1"/>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EDA"/>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19C0"/>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5B78"/>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2C87"/>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0A3F"/>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42AB"/>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285"/>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50C"/>
    <w:rsid w:val="00F64676"/>
    <w:rsid w:val="00F64E6F"/>
    <w:rsid w:val="00F664D6"/>
    <w:rsid w:val="00F66595"/>
    <w:rsid w:val="00F6692B"/>
    <w:rsid w:val="00F67188"/>
    <w:rsid w:val="00F67C39"/>
    <w:rsid w:val="00F701CB"/>
    <w:rsid w:val="00F719C2"/>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5918"/>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1F85B"/>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paragraph" w:styleId="Heading9">
    <w:name w:val="heading 9"/>
    <w:basedOn w:val="Normal"/>
    <w:next w:val="Normal"/>
    <w:link w:val="Heading9Char"/>
    <w:semiHidden/>
    <w:unhideWhenUsed/>
    <w:qFormat/>
    <w:rsid w:val="002B7F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2"/>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customStyle="1" w:styleId="Hashtag1">
    <w:name w:val="Hashtag1"/>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customStyle="1" w:styleId="Mention1">
    <w:name w:val="Mention1"/>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customStyle="1" w:styleId="Heading9Char">
    <w:name w:val="Heading 9 Char"/>
    <w:basedOn w:val="DefaultParagraphFont"/>
    <w:link w:val="Heading9"/>
    <w:semiHidden/>
    <w:rsid w:val="002B7F61"/>
    <w:rPr>
      <w:rFonts w:asciiTheme="majorHAnsi" w:eastAsiaTheme="majorEastAsia" w:hAnsiTheme="majorHAnsi" w:cstheme="majorBidi"/>
      <w:i/>
      <w:iCs/>
      <w:color w:val="272727" w:themeColor="text1" w:themeTint="D8"/>
      <w:sz w:val="21"/>
      <w:szCs w:val="21"/>
      <w:lang w:eastAsia="en-AU"/>
    </w:rPr>
  </w:style>
  <w:style w:type="paragraph" w:customStyle="1" w:styleId="IndentParaLevel1">
    <w:name w:val="IndentParaLevel1"/>
    <w:basedOn w:val="Normal"/>
    <w:rsid w:val="002B7F61"/>
    <w:pPr>
      <w:numPr>
        <w:numId w:val="4"/>
      </w:numPr>
      <w:spacing w:after="240"/>
      <w:jc w:val="both"/>
    </w:pPr>
    <w:rPr>
      <w:rFonts w:eastAsia="Times"/>
      <w:kern w:val="2"/>
      <w:sz w:val="20"/>
      <w:szCs w:val="22"/>
      <w:lang w:eastAsia="en-US" w:bidi="en-US"/>
      <w14:ligatures w14:val="standardContextual"/>
    </w:rPr>
  </w:style>
  <w:style w:type="paragraph" w:customStyle="1" w:styleId="CUNumber1">
    <w:name w:val="CU_Number1"/>
    <w:basedOn w:val="Normal"/>
    <w:qFormat/>
    <w:rsid w:val="002B7F61"/>
    <w:pPr>
      <w:numPr>
        <w:numId w:val="5"/>
      </w:numPr>
      <w:spacing w:after="240"/>
      <w:jc w:val="both"/>
      <w:outlineLvl w:val="0"/>
    </w:pPr>
    <w:rPr>
      <w:rFonts w:eastAsia="Times"/>
      <w:b/>
      <w:bCs/>
      <w:color w:val="00447C"/>
      <w:kern w:val="2"/>
      <w:sz w:val="24"/>
      <w:szCs w:val="22"/>
      <w:lang w:eastAsia="en-US"/>
      <w14:ligatures w14:val="standardContextual"/>
    </w:rPr>
  </w:style>
  <w:style w:type="paragraph" w:customStyle="1" w:styleId="CUNumber2">
    <w:name w:val="CU_Number2"/>
    <w:basedOn w:val="Normal"/>
    <w:qFormat/>
    <w:rsid w:val="002B7F61"/>
    <w:pPr>
      <w:keepNext/>
      <w:numPr>
        <w:ilvl w:val="1"/>
        <w:numId w:val="5"/>
      </w:numPr>
      <w:spacing w:after="240"/>
      <w:jc w:val="both"/>
      <w:outlineLvl w:val="1"/>
    </w:pPr>
    <w:rPr>
      <w:rFonts w:eastAsia="Times"/>
      <w:b/>
      <w:kern w:val="2"/>
      <w:sz w:val="20"/>
      <w:szCs w:val="22"/>
      <w:lang w:eastAsia="en-US" w:bidi="en-US"/>
      <w14:ligatures w14:val="standardContextual"/>
    </w:rPr>
  </w:style>
  <w:style w:type="paragraph" w:customStyle="1" w:styleId="CUNumber3">
    <w:name w:val="CU_Number3"/>
    <w:basedOn w:val="Normal"/>
    <w:qFormat/>
    <w:rsid w:val="002B7F61"/>
    <w:pPr>
      <w:numPr>
        <w:ilvl w:val="2"/>
        <w:numId w:val="5"/>
      </w:numPr>
      <w:spacing w:after="240"/>
      <w:jc w:val="both"/>
      <w:outlineLvl w:val="2"/>
    </w:pPr>
    <w:rPr>
      <w:rFonts w:eastAsia="Times"/>
      <w:kern w:val="2"/>
      <w:sz w:val="20"/>
      <w:szCs w:val="22"/>
      <w:lang w:eastAsia="en-US" w:bidi="en-US"/>
      <w14:ligatures w14:val="standardContextual"/>
    </w:rPr>
  </w:style>
  <w:style w:type="paragraph" w:customStyle="1" w:styleId="CUNumber4">
    <w:name w:val="CU_Number4"/>
    <w:basedOn w:val="Normal"/>
    <w:qFormat/>
    <w:rsid w:val="002B7F61"/>
    <w:pPr>
      <w:numPr>
        <w:ilvl w:val="3"/>
        <w:numId w:val="5"/>
      </w:numPr>
      <w:spacing w:after="240"/>
      <w:jc w:val="both"/>
      <w:outlineLvl w:val="3"/>
    </w:pPr>
    <w:rPr>
      <w:rFonts w:eastAsia="Times"/>
      <w:kern w:val="2"/>
      <w:sz w:val="20"/>
      <w:szCs w:val="22"/>
      <w:lang w:eastAsia="en-US" w:bidi="en-US"/>
      <w14:ligatures w14:val="standardContextual"/>
    </w:rPr>
  </w:style>
  <w:style w:type="paragraph" w:customStyle="1" w:styleId="CUNumber5">
    <w:name w:val="CU_Number5"/>
    <w:basedOn w:val="Normal"/>
    <w:qFormat/>
    <w:rsid w:val="002B7F61"/>
    <w:pPr>
      <w:numPr>
        <w:ilvl w:val="4"/>
        <w:numId w:val="5"/>
      </w:numPr>
      <w:spacing w:after="240"/>
      <w:jc w:val="both"/>
      <w:outlineLvl w:val="4"/>
    </w:pPr>
    <w:rPr>
      <w:rFonts w:eastAsia="Times"/>
      <w:kern w:val="2"/>
      <w:sz w:val="20"/>
      <w:szCs w:val="22"/>
      <w:lang w:eastAsia="en-US" w:bidi="en-US"/>
      <w14:ligatures w14:val="standardContextual"/>
    </w:rPr>
  </w:style>
  <w:style w:type="paragraph" w:customStyle="1" w:styleId="CUNumber6">
    <w:name w:val="CU_Number6"/>
    <w:basedOn w:val="Normal"/>
    <w:qFormat/>
    <w:rsid w:val="002B7F61"/>
    <w:pPr>
      <w:numPr>
        <w:ilvl w:val="5"/>
        <w:numId w:val="5"/>
      </w:numPr>
      <w:spacing w:after="240"/>
      <w:jc w:val="both"/>
      <w:outlineLvl w:val="5"/>
    </w:pPr>
    <w:rPr>
      <w:rFonts w:eastAsia="Times"/>
      <w:kern w:val="2"/>
      <w:sz w:val="20"/>
      <w:szCs w:val="22"/>
      <w:lang w:eastAsia="en-US" w:bidi="en-US"/>
      <w14:ligatures w14:val="standardContextual"/>
    </w:rPr>
  </w:style>
  <w:style w:type="paragraph" w:customStyle="1" w:styleId="CUNumber7">
    <w:name w:val="CU_Number7"/>
    <w:basedOn w:val="Normal"/>
    <w:qFormat/>
    <w:rsid w:val="002B7F61"/>
    <w:pPr>
      <w:numPr>
        <w:ilvl w:val="6"/>
        <w:numId w:val="5"/>
      </w:numPr>
      <w:spacing w:after="240"/>
      <w:jc w:val="both"/>
      <w:outlineLvl w:val="6"/>
    </w:pPr>
    <w:rPr>
      <w:rFonts w:eastAsia="Times"/>
      <w:kern w:val="2"/>
      <w:sz w:val="20"/>
      <w:szCs w:val="22"/>
      <w:lang w:eastAsia="en-US" w:bidi="en-US"/>
      <w14:ligatures w14:val="standardContextual"/>
    </w:rPr>
  </w:style>
  <w:style w:type="paragraph" w:customStyle="1" w:styleId="CUNumber8">
    <w:name w:val="CU_Number8"/>
    <w:basedOn w:val="Normal"/>
    <w:qFormat/>
    <w:rsid w:val="002B7F61"/>
    <w:pPr>
      <w:numPr>
        <w:ilvl w:val="7"/>
        <w:numId w:val="5"/>
      </w:numPr>
      <w:spacing w:after="240"/>
      <w:jc w:val="both"/>
      <w:outlineLvl w:val="7"/>
    </w:pPr>
    <w:rPr>
      <w:rFonts w:eastAsia="Times"/>
      <w:kern w:val="2"/>
      <w:sz w:val="20"/>
      <w:szCs w:val="22"/>
      <w:lang w:eastAsia="en-US" w:bidi="en-US"/>
      <w14:ligatures w14:val="standardContextual"/>
    </w:rPr>
  </w:style>
  <w:style w:type="paragraph" w:customStyle="1" w:styleId="Definition">
    <w:name w:val="Definition"/>
    <w:basedOn w:val="Normal"/>
    <w:rsid w:val="002B7F61"/>
    <w:pPr>
      <w:numPr>
        <w:numId w:val="3"/>
      </w:numPr>
      <w:spacing w:before="120"/>
    </w:pPr>
    <w:rPr>
      <w:rFonts w:eastAsia="Times"/>
      <w:b/>
      <w:kern w:val="2"/>
      <w:sz w:val="20"/>
      <w:szCs w:val="22"/>
      <w:lang w:bidi="en-US"/>
      <w14:ligatures w14:val="standardContextual"/>
    </w:rPr>
  </w:style>
  <w:style w:type="paragraph" w:customStyle="1" w:styleId="DefinitionNum2">
    <w:name w:val="DefinitionNum2"/>
    <w:basedOn w:val="Normal"/>
    <w:rsid w:val="002B7F61"/>
    <w:pPr>
      <w:numPr>
        <w:ilvl w:val="1"/>
        <w:numId w:val="3"/>
      </w:numPr>
      <w:spacing w:before="120"/>
      <w:jc w:val="both"/>
    </w:pPr>
    <w:rPr>
      <w:rFonts w:eastAsia="Times"/>
      <w:color w:val="000000"/>
      <w:kern w:val="2"/>
      <w:sz w:val="20"/>
      <w:szCs w:val="22"/>
      <w:lang w:bidi="en-US"/>
      <w14:ligatures w14:val="standardContextual"/>
    </w:rPr>
  </w:style>
  <w:style w:type="paragraph" w:customStyle="1" w:styleId="DefinitionNum3">
    <w:name w:val="DefinitionNum3"/>
    <w:basedOn w:val="Normal"/>
    <w:rsid w:val="002B7F61"/>
    <w:pPr>
      <w:numPr>
        <w:ilvl w:val="2"/>
        <w:numId w:val="3"/>
      </w:numPr>
      <w:spacing w:after="240"/>
      <w:jc w:val="both"/>
      <w:outlineLvl w:val="2"/>
    </w:pPr>
    <w:rPr>
      <w:rFonts w:eastAsia="Times"/>
      <w:color w:val="000000"/>
      <w:kern w:val="2"/>
      <w:sz w:val="20"/>
      <w:szCs w:val="22"/>
      <w:lang w:bidi="en-US"/>
      <w14:ligatures w14:val="standardContextual"/>
    </w:rPr>
  </w:style>
  <w:style w:type="paragraph" w:customStyle="1" w:styleId="DefinitionNum4">
    <w:name w:val="DefinitionNum4"/>
    <w:basedOn w:val="Normal"/>
    <w:rsid w:val="002B7F61"/>
    <w:pPr>
      <w:numPr>
        <w:ilvl w:val="3"/>
        <w:numId w:val="3"/>
      </w:numPr>
      <w:spacing w:after="240"/>
      <w:jc w:val="both"/>
    </w:pPr>
    <w:rPr>
      <w:rFonts w:eastAsia="Times"/>
      <w:kern w:val="2"/>
      <w:sz w:val="20"/>
      <w:szCs w:val="22"/>
      <w:lang w:bidi="en-US"/>
      <w14:ligatures w14:val="standardContextual"/>
    </w:rPr>
  </w:style>
  <w:style w:type="paragraph" w:customStyle="1" w:styleId="IndentParaLevel2">
    <w:name w:val="IndentParaLevel2"/>
    <w:basedOn w:val="Normal"/>
    <w:rsid w:val="002B7F61"/>
    <w:pPr>
      <w:numPr>
        <w:ilvl w:val="1"/>
        <w:numId w:val="4"/>
      </w:numPr>
      <w:spacing w:after="240"/>
      <w:jc w:val="both"/>
    </w:pPr>
    <w:rPr>
      <w:rFonts w:eastAsia="Times"/>
      <w:kern w:val="2"/>
      <w:sz w:val="20"/>
      <w:szCs w:val="22"/>
      <w:lang w:eastAsia="en-US" w:bidi="en-US"/>
      <w14:ligatures w14:val="standardContextual"/>
    </w:rPr>
  </w:style>
  <w:style w:type="paragraph" w:customStyle="1" w:styleId="IndentParaLevel3">
    <w:name w:val="IndentParaLevel3"/>
    <w:basedOn w:val="Normal"/>
    <w:rsid w:val="002B7F61"/>
    <w:pPr>
      <w:numPr>
        <w:ilvl w:val="2"/>
        <w:numId w:val="4"/>
      </w:numPr>
      <w:spacing w:after="240"/>
      <w:jc w:val="both"/>
    </w:pPr>
    <w:rPr>
      <w:rFonts w:eastAsia="Times"/>
      <w:kern w:val="2"/>
      <w:sz w:val="20"/>
      <w:szCs w:val="22"/>
      <w:lang w:eastAsia="en-US" w:bidi="en-US"/>
      <w14:ligatures w14:val="standardContextual"/>
    </w:rPr>
  </w:style>
  <w:style w:type="paragraph" w:customStyle="1" w:styleId="IndentParaLevel4">
    <w:name w:val="IndentParaLevel4"/>
    <w:basedOn w:val="Normal"/>
    <w:rsid w:val="002B7F61"/>
    <w:pPr>
      <w:numPr>
        <w:ilvl w:val="3"/>
        <w:numId w:val="4"/>
      </w:numPr>
      <w:spacing w:after="240"/>
      <w:jc w:val="both"/>
    </w:pPr>
    <w:rPr>
      <w:rFonts w:eastAsia="Times"/>
      <w:kern w:val="2"/>
      <w:sz w:val="20"/>
      <w:szCs w:val="22"/>
      <w:lang w:eastAsia="en-US" w:bidi="en-US"/>
      <w14:ligatures w14:val="standardContextual"/>
    </w:rPr>
  </w:style>
  <w:style w:type="paragraph" w:customStyle="1" w:styleId="IndentParaLevel5">
    <w:name w:val="IndentParaLevel5"/>
    <w:basedOn w:val="Normal"/>
    <w:rsid w:val="002B7F61"/>
    <w:pPr>
      <w:numPr>
        <w:ilvl w:val="4"/>
        <w:numId w:val="4"/>
      </w:numPr>
      <w:spacing w:after="240"/>
      <w:jc w:val="both"/>
    </w:pPr>
    <w:rPr>
      <w:rFonts w:eastAsia="Times"/>
      <w:kern w:val="2"/>
      <w:sz w:val="20"/>
      <w:szCs w:val="22"/>
      <w:lang w:eastAsia="en-US" w:bidi="en-US"/>
      <w14:ligatures w14:val="standardContextual"/>
    </w:rPr>
  </w:style>
  <w:style w:type="paragraph" w:customStyle="1" w:styleId="IndentParaLevel6">
    <w:name w:val="IndentParaLevel6"/>
    <w:basedOn w:val="Normal"/>
    <w:rsid w:val="002B7F61"/>
    <w:pPr>
      <w:numPr>
        <w:ilvl w:val="5"/>
        <w:numId w:val="4"/>
      </w:numPr>
      <w:spacing w:after="240"/>
      <w:jc w:val="both"/>
    </w:pPr>
    <w:rPr>
      <w:rFonts w:eastAsia="Times"/>
      <w:kern w:val="2"/>
      <w:sz w:val="20"/>
      <w:szCs w:val="22"/>
      <w:lang w:eastAsia="en-US" w:bidi="en-US"/>
      <w14:ligatures w14:val="standardContextual"/>
    </w:rPr>
  </w:style>
  <w:style w:type="numbering" w:customStyle="1" w:styleId="CUNumber">
    <w:name w:val="CU_Number"/>
    <w:uiPriority w:val="99"/>
    <w:rsid w:val="002B7F61"/>
    <w:pPr>
      <w:numPr>
        <w:numId w:val="20"/>
      </w:numPr>
    </w:pPr>
  </w:style>
  <w:style w:type="numbering" w:customStyle="1" w:styleId="CUDefinitions">
    <w:name w:val="CU_Definitions"/>
    <w:uiPriority w:val="99"/>
    <w:rsid w:val="002B7F61"/>
    <w:pPr>
      <w:numPr>
        <w:numId w:val="3"/>
      </w:numPr>
    </w:pPr>
  </w:style>
  <w:style w:type="table" w:customStyle="1" w:styleId="CULightInternalborders">
    <w:name w:val="CU Light Internal borders"/>
    <w:basedOn w:val="TableNormal"/>
    <w:uiPriority w:val="99"/>
    <w:rsid w:val="002B7F61"/>
    <w:rPr>
      <w:rFonts w:ascii="Arial" w:eastAsia="Times" w:hAnsi="Arial"/>
      <w:kern w:val="2"/>
      <w14:ligatures w14:val="standardContextual"/>
    </w:rPr>
    <w:tblPr>
      <w:tblBorders>
        <w:top w:val="single" w:sz="4" w:space="0" w:color="225E6A" w:themeColor="accent1"/>
        <w:left w:val="single" w:sz="4" w:space="0" w:color="225E6A" w:themeColor="accent1"/>
        <w:bottom w:val="single" w:sz="4" w:space="0" w:color="225E6A" w:themeColor="accent1"/>
        <w:right w:val="single" w:sz="4" w:space="0" w:color="225E6A" w:themeColor="accent1"/>
        <w:insideH w:val="single" w:sz="4" w:space="0" w:color="225E6A" w:themeColor="accent1"/>
        <w:insideV w:val="single" w:sz="4" w:space="0" w:color="225E6A" w:themeColor="accent1"/>
      </w:tblBorders>
    </w:tblPr>
    <w:tblStylePr w:type="firstRow">
      <w:pPr>
        <w:wordWrap/>
        <w:spacing w:beforeLines="0" w:before="60" w:beforeAutospacing="0" w:afterLines="0" w:after="60" w:afterAutospacing="0" w:line="240" w:lineRule="auto"/>
      </w:pPr>
      <w:rPr>
        <w:rFonts w:ascii="Arial" w:hAnsi="Arial"/>
        <w:b/>
        <w:color w:val="225E6A" w:themeColor="accent1"/>
        <w:sz w:val="20"/>
      </w:rPr>
      <w:tblPr/>
      <w:tcPr>
        <w:shd w:val="clear" w:color="auto" w:fill="853D96" w:themeFill="accent2"/>
      </w:tcPr>
    </w:tblStylePr>
  </w:style>
  <w:style w:type="paragraph" w:styleId="ListParagraph">
    <w:name w:val="List Paragraph"/>
    <w:basedOn w:val="Normal"/>
    <w:uiPriority w:val="72"/>
    <w:qFormat/>
    <w:rsid w:val="002B7F61"/>
    <w:pPr>
      <w:ind w:left="720"/>
      <w:contextualSpacing/>
    </w:pPr>
  </w:style>
  <w:style w:type="character" w:customStyle="1" w:styleId="UnresolvedMention1">
    <w:name w:val="Unresolved Mention1"/>
    <w:basedOn w:val="DefaultParagraphFont"/>
    <w:uiPriority w:val="99"/>
    <w:semiHidden/>
    <w:unhideWhenUsed/>
    <w:rsid w:val="008F4A4D"/>
    <w:rPr>
      <w:color w:val="605E5C"/>
      <w:shd w:val="clear" w:color="auto" w:fill="E1DFDD"/>
    </w:rPr>
  </w:style>
  <w:style w:type="paragraph" w:styleId="Revision">
    <w:name w:val="Revision"/>
    <w:hidden/>
    <w:uiPriority w:val="71"/>
    <w:rsid w:val="00F95918"/>
    <w:rPr>
      <w:rFonts w:ascii="Arial" w:hAnsi="Arial"/>
      <w:sz w:val="22"/>
      <w:szCs w:val="24"/>
      <w:lang w:eastAsia="en-AU"/>
    </w:rPr>
  </w:style>
  <w:style w:type="character" w:styleId="CommentReference">
    <w:name w:val="annotation reference"/>
    <w:basedOn w:val="DefaultParagraphFont"/>
    <w:rsid w:val="00BD7EDA"/>
    <w:rPr>
      <w:sz w:val="16"/>
      <w:szCs w:val="16"/>
    </w:rPr>
  </w:style>
  <w:style w:type="paragraph" w:styleId="CommentText">
    <w:name w:val="annotation text"/>
    <w:basedOn w:val="Normal"/>
    <w:link w:val="CommentTextChar"/>
    <w:rsid w:val="00BD7EDA"/>
    <w:rPr>
      <w:sz w:val="20"/>
      <w:szCs w:val="20"/>
    </w:rPr>
  </w:style>
  <w:style w:type="character" w:customStyle="1" w:styleId="CommentTextChar">
    <w:name w:val="Comment Text Char"/>
    <w:basedOn w:val="DefaultParagraphFont"/>
    <w:link w:val="CommentText"/>
    <w:rsid w:val="00BD7EDA"/>
    <w:rPr>
      <w:rFonts w:ascii="Arial" w:hAnsi="Arial"/>
      <w:lang w:eastAsia="en-AU"/>
    </w:rPr>
  </w:style>
  <w:style w:type="paragraph" w:styleId="CommentSubject">
    <w:name w:val="annotation subject"/>
    <w:basedOn w:val="CommentText"/>
    <w:next w:val="CommentText"/>
    <w:link w:val="CommentSubjectChar"/>
    <w:rsid w:val="00BD7EDA"/>
    <w:rPr>
      <w:b/>
      <w:bCs/>
    </w:rPr>
  </w:style>
  <w:style w:type="character" w:customStyle="1" w:styleId="CommentSubjectChar">
    <w:name w:val="Comment Subject Char"/>
    <w:basedOn w:val="CommentTextChar"/>
    <w:link w:val="CommentSubject"/>
    <w:rsid w:val="00BD7EDA"/>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pdf/inforce/current/act-2009-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gov.qld.gov.au/information-technology/queensland-government-enterprise-architecture-qgea/qgea-directions-and-guidance/qgea-policies-standards-and-guidelines/information-security-policy-is1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qld.gov.au/view/pdf/inforce/current/act-2019-005" TargetMode="External"/><Relationship Id="rId4" Type="http://schemas.openxmlformats.org/officeDocument/2006/relationships/settings" Target="settings.xml"/><Relationship Id="rId9" Type="http://schemas.openxmlformats.org/officeDocument/2006/relationships/hyperlink" Target="https://www.legislation.qld.gov.au/view/pdf/inforce/current/act-2022-03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1634</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Data Breach Policy</vt:lpstr>
    </vt:vector>
  </TitlesOfParts>
  <Manager>Department of Communities, Child Safety and Disability Services</Manager>
  <Company>Queensland Government</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Breach Policy</dc:title>
  <dc:subject>Data Breach Policy</dc:subject>
  <dc:creator>Queensland Government</dc:creator>
  <cp:keywords>Data Breach Policy</cp:keywords>
  <cp:lastModifiedBy>Julieanne J Larkin</cp:lastModifiedBy>
  <cp:revision>4</cp:revision>
  <dcterms:created xsi:type="dcterms:W3CDTF">2025-07-14T00:13:00Z</dcterms:created>
  <dcterms:modified xsi:type="dcterms:W3CDTF">2025-07-15T22:02:00Z</dcterms:modified>
  <cp:category>template</cp:category>
</cp:coreProperties>
</file>