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19BC" w14:textId="3E7F0DEF" w:rsidR="00596AA7" w:rsidRPr="00664377" w:rsidRDefault="0029417A" w:rsidP="00664377">
      <w:pPr>
        <w:pStyle w:val="Heading1"/>
        <w:sectPr w:rsidR="00596AA7" w:rsidRPr="00664377" w:rsidSect="00725004">
          <w:headerReference w:type="default" r:id="rId8"/>
          <w:footerReference w:type="default" r:id="rId9"/>
          <w:headerReference w:type="first" r:id="rId10"/>
          <w:footerReference w:type="first" r:id="rId11"/>
          <w:pgSz w:w="11906" w:h="16838" w:code="9"/>
          <w:pgMar w:top="1843" w:right="1134" w:bottom="1418" w:left="1134" w:header="709" w:footer="709" w:gutter="0"/>
          <w:cols w:space="709"/>
          <w:titlePg/>
          <w:docGrid w:linePitch="360"/>
        </w:sectPr>
      </w:pPr>
      <w:r>
        <w:t>C</w:t>
      </w:r>
      <w:r w:rsidR="00664377">
        <w:t xml:space="preserve">ontracted service providers </w:t>
      </w:r>
      <w:r>
        <w:t>and the Information Privacy Principles (IPPs)</w:t>
      </w:r>
      <w:r w:rsidR="00664377">
        <w:t xml:space="preserve"> </w:t>
      </w:r>
      <w:r w:rsidR="00074B2F">
        <w:t xml:space="preserve"> </w:t>
      </w:r>
    </w:p>
    <w:p w14:paraId="6E55F90B" w14:textId="77777777" w:rsidR="00074B2F" w:rsidRDefault="00074B2F" w:rsidP="00725004">
      <w:pPr>
        <w:pStyle w:val="Heading2"/>
        <w:spacing w:after="120"/>
      </w:pPr>
      <w:r w:rsidRPr="00737FBB">
        <w:t>Background</w:t>
      </w:r>
    </w:p>
    <w:p w14:paraId="7E1E5542" w14:textId="6CB9C780" w:rsidR="009A5BC9" w:rsidRDefault="00074B2F" w:rsidP="009A5BC9">
      <w:pPr>
        <w:pStyle w:val="Default"/>
        <w:spacing w:after="120"/>
        <w:rPr>
          <w:sz w:val="22"/>
          <w:szCs w:val="22"/>
        </w:rPr>
      </w:pPr>
      <w:r>
        <w:rPr>
          <w:sz w:val="22"/>
          <w:szCs w:val="22"/>
        </w:rPr>
        <w:t xml:space="preserve">The Department of </w:t>
      </w:r>
      <w:r w:rsidR="00725004">
        <w:rPr>
          <w:sz w:val="22"/>
          <w:szCs w:val="22"/>
        </w:rPr>
        <w:t xml:space="preserve">Families, Seniors, </w:t>
      </w:r>
      <w:r>
        <w:rPr>
          <w:sz w:val="22"/>
          <w:szCs w:val="22"/>
        </w:rPr>
        <w:t>Disability Services</w:t>
      </w:r>
      <w:r w:rsidR="00725004">
        <w:rPr>
          <w:sz w:val="22"/>
          <w:szCs w:val="22"/>
        </w:rPr>
        <w:t xml:space="preserve"> and Child Safety</w:t>
      </w:r>
      <w:r>
        <w:rPr>
          <w:sz w:val="22"/>
          <w:szCs w:val="22"/>
        </w:rPr>
        <w:t xml:space="preserve"> (</w:t>
      </w:r>
      <w:r w:rsidRPr="00725004">
        <w:rPr>
          <w:b/>
          <w:sz w:val="22"/>
          <w:szCs w:val="22"/>
        </w:rPr>
        <w:t>the department</w:t>
      </w:r>
      <w:r>
        <w:rPr>
          <w:sz w:val="22"/>
          <w:szCs w:val="22"/>
        </w:rPr>
        <w:t>) engages contracted service providers (</w:t>
      </w:r>
      <w:r w:rsidRPr="00725004">
        <w:rPr>
          <w:b/>
          <w:bCs/>
          <w:sz w:val="22"/>
          <w:szCs w:val="22"/>
        </w:rPr>
        <w:t>CSPs</w:t>
      </w:r>
      <w:r>
        <w:rPr>
          <w:sz w:val="22"/>
          <w:szCs w:val="22"/>
        </w:rPr>
        <w:t xml:space="preserve">) to perform some of its functions. </w:t>
      </w:r>
    </w:p>
    <w:p w14:paraId="733FFB5A" w14:textId="07916F71" w:rsidR="00074B2F" w:rsidRPr="00234F4B" w:rsidRDefault="00074B2F" w:rsidP="009A5BC9">
      <w:pPr>
        <w:pStyle w:val="Default"/>
        <w:spacing w:after="120"/>
        <w:rPr>
          <w:sz w:val="22"/>
          <w:szCs w:val="22"/>
        </w:rPr>
      </w:pPr>
      <w:r w:rsidRPr="00234F4B">
        <w:rPr>
          <w:sz w:val="22"/>
          <w:szCs w:val="22"/>
        </w:rPr>
        <w:t xml:space="preserve">CSPs often handle personal information while performing those functions. </w:t>
      </w:r>
      <w:r w:rsidR="009A5BC9" w:rsidRPr="00234F4B">
        <w:rPr>
          <w:sz w:val="22"/>
          <w:szCs w:val="22"/>
        </w:rPr>
        <w:t>The department wants to ensure that personal information is protected, whether it is being handled by departmental or CSP employees.</w:t>
      </w:r>
    </w:p>
    <w:p w14:paraId="5E6B8333" w14:textId="6B2F6D5D" w:rsidR="00074B2F" w:rsidRPr="00234F4B" w:rsidRDefault="00074B2F" w:rsidP="00234F4B">
      <w:pPr>
        <w:pStyle w:val="Default"/>
        <w:spacing w:after="120"/>
        <w:rPr>
          <w:sz w:val="22"/>
          <w:szCs w:val="22"/>
        </w:rPr>
      </w:pPr>
      <w:bookmarkStart w:id="0" w:name="_Hlk193192661"/>
      <w:r w:rsidRPr="00234F4B">
        <w:rPr>
          <w:sz w:val="22"/>
          <w:szCs w:val="22"/>
        </w:rPr>
        <w:t xml:space="preserve">The standard terms of Queensland Government contracts </w:t>
      </w:r>
      <w:r w:rsidR="00EB4550">
        <w:rPr>
          <w:sz w:val="22"/>
          <w:szCs w:val="22"/>
        </w:rPr>
        <w:t xml:space="preserve">entered into before 1 July 2025 </w:t>
      </w:r>
      <w:r w:rsidRPr="00234F4B">
        <w:rPr>
          <w:sz w:val="22"/>
          <w:szCs w:val="22"/>
        </w:rPr>
        <w:t>bind CSPs to comply with</w:t>
      </w:r>
      <w:r w:rsidR="00A73276">
        <w:rPr>
          <w:sz w:val="22"/>
          <w:szCs w:val="22"/>
        </w:rPr>
        <w:t xml:space="preserve"> </w:t>
      </w:r>
      <w:r w:rsidR="00A73276" w:rsidRPr="00A73276">
        <w:rPr>
          <w:b/>
          <w:bCs/>
          <w:sz w:val="22"/>
          <w:szCs w:val="22"/>
        </w:rPr>
        <w:t>chapter 2,</w:t>
      </w:r>
      <w:r w:rsidRPr="00A73276">
        <w:rPr>
          <w:b/>
          <w:bCs/>
          <w:sz w:val="22"/>
          <w:szCs w:val="22"/>
        </w:rPr>
        <w:t xml:space="preserve"> </w:t>
      </w:r>
      <w:r w:rsidR="00234F4B" w:rsidRPr="00CD6E0A">
        <w:rPr>
          <w:b/>
          <w:bCs/>
          <w:sz w:val="22"/>
          <w:szCs w:val="22"/>
        </w:rPr>
        <w:t>parts 1 or 2 and part 3</w:t>
      </w:r>
      <w:r w:rsidR="00234F4B" w:rsidRPr="00234F4B">
        <w:rPr>
          <w:sz w:val="22"/>
          <w:szCs w:val="22"/>
        </w:rPr>
        <w:t xml:space="preserve"> of the </w:t>
      </w:r>
      <w:hyperlink r:id="rId12" w:history="1">
        <w:r w:rsidR="00234F4B" w:rsidRPr="00234F4B">
          <w:rPr>
            <w:rStyle w:val="Hyperlink"/>
            <w:i/>
            <w:iCs/>
            <w:sz w:val="22"/>
            <w:szCs w:val="22"/>
          </w:rPr>
          <w:t>Information Privacy Act 2009</w:t>
        </w:r>
      </w:hyperlink>
      <w:r w:rsidR="00234F4B" w:rsidRPr="00234F4B">
        <w:rPr>
          <w:sz w:val="22"/>
          <w:szCs w:val="22"/>
        </w:rPr>
        <w:t xml:space="preserve"> (</w:t>
      </w:r>
      <w:r w:rsidR="00234F4B" w:rsidRPr="00234F4B">
        <w:rPr>
          <w:b/>
          <w:bCs/>
          <w:sz w:val="22"/>
          <w:szCs w:val="22"/>
        </w:rPr>
        <w:t>IP Act</w:t>
      </w:r>
      <w:r w:rsidR="00234F4B" w:rsidRPr="00234F4B">
        <w:rPr>
          <w:sz w:val="22"/>
          <w:szCs w:val="22"/>
        </w:rPr>
        <w:t>) in relation to personal information</w:t>
      </w:r>
      <w:r w:rsidRPr="00234F4B">
        <w:rPr>
          <w:sz w:val="22"/>
          <w:szCs w:val="22"/>
        </w:rPr>
        <w:t>.</w:t>
      </w:r>
      <w:r w:rsidR="00234F4B">
        <w:rPr>
          <w:rStyle w:val="FootnoteReference"/>
          <w:sz w:val="22"/>
          <w:szCs w:val="22"/>
        </w:rPr>
        <w:footnoteReference w:id="1"/>
      </w:r>
      <w:r w:rsidRPr="00234F4B">
        <w:rPr>
          <w:sz w:val="22"/>
          <w:szCs w:val="22"/>
        </w:rPr>
        <w:t xml:space="preserve"> </w:t>
      </w:r>
    </w:p>
    <w:p w14:paraId="0DF4CBF8" w14:textId="77777777" w:rsidR="00074B2F" w:rsidRDefault="00074B2F" w:rsidP="00074B2F">
      <w:pPr>
        <w:pStyle w:val="Default"/>
        <w:spacing w:after="60"/>
        <w:rPr>
          <w:sz w:val="22"/>
          <w:szCs w:val="22"/>
        </w:rPr>
      </w:pPr>
      <w:bookmarkStart w:id="2" w:name="_Hlk193192729"/>
      <w:bookmarkEnd w:id="0"/>
      <w:r w:rsidRPr="005A1B8C">
        <w:rPr>
          <w:sz w:val="22"/>
          <w:szCs w:val="22"/>
        </w:rPr>
        <w:t xml:space="preserve">Information privacy is also </w:t>
      </w:r>
      <w:r>
        <w:rPr>
          <w:sz w:val="22"/>
          <w:szCs w:val="22"/>
        </w:rPr>
        <w:t>covered by</w:t>
      </w:r>
      <w:r w:rsidRPr="005A1B8C">
        <w:rPr>
          <w:sz w:val="22"/>
          <w:szCs w:val="22"/>
        </w:rPr>
        <w:t xml:space="preserve"> the </w:t>
      </w:r>
      <w:hyperlink r:id="rId13" w:history="1">
        <w:r w:rsidRPr="0049698E">
          <w:rPr>
            <w:rStyle w:val="Hyperlink"/>
            <w:sz w:val="22"/>
            <w:szCs w:val="22"/>
          </w:rPr>
          <w:t>Human Services Quality Framework</w:t>
        </w:r>
      </w:hyperlink>
      <w:r w:rsidRPr="005A1B8C">
        <w:rPr>
          <w:sz w:val="22"/>
          <w:szCs w:val="22"/>
        </w:rPr>
        <w:t xml:space="preserve"> for CSPs providing human services</w:t>
      </w:r>
      <w:r>
        <w:rPr>
          <w:sz w:val="22"/>
          <w:szCs w:val="22"/>
        </w:rPr>
        <w:t xml:space="preserve"> (standard 1.7)</w:t>
      </w:r>
      <w:hyperlink r:id="rId14" w:history="1"/>
      <w:r>
        <w:rPr>
          <w:sz w:val="22"/>
          <w:szCs w:val="22"/>
        </w:rPr>
        <w:t>.</w:t>
      </w:r>
      <w:r w:rsidRPr="005A1B8C">
        <w:rPr>
          <w:sz w:val="22"/>
          <w:szCs w:val="22"/>
        </w:rPr>
        <w:t xml:space="preserve"> </w:t>
      </w:r>
      <w:bookmarkEnd w:id="2"/>
    </w:p>
    <w:p w14:paraId="2E47CB61" w14:textId="1434D3AC" w:rsidR="00074B2F" w:rsidRPr="00A73276" w:rsidRDefault="00A73276" w:rsidP="00A73276">
      <w:pPr>
        <w:pStyle w:val="Heading2"/>
        <w:spacing w:after="120"/>
        <w:rPr>
          <w:color w:val="006666"/>
          <w:sz w:val="28"/>
          <w:szCs w:val="28"/>
        </w:rPr>
      </w:pPr>
      <w:r>
        <w:t xml:space="preserve">Personal information </w:t>
      </w:r>
    </w:p>
    <w:p w14:paraId="13521F9C" w14:textId="77777777" w:rsidR="00074B2F" w:rsidRDefault="00074B2F" w:rsidP="00725004">
      <w:pPr>
        <w:pStyle w:val="Default"/>
        <w:spacing w:after="240"/>
        <w:rPr>
          <w:color w:val="auto"/>
          <w:sz w:val="22"/>
          <w:szCs w:val="22"/>
        </w:rPr>
      </w:pPr>
      <w:r>
        <w:rPr>
          <w:color w:val="auto"/>
          <w:sz w:val="22"/>
          <w:szCs w:val="22"/>
        </w:rPr>
        <w:t xml:space="preserve">The IP Act governs collection, management, use and disclosure of </w:t>
      </w:r>
      <w:r w:rsidRPr="0020004E">
        <w:rPr>
          <w:i/>
          <w:iCs/>
          <w:color w:val="auto"/>
          <w:sz w:val="22"/>
          <w:szCs w:val="22"/>
        </w:rPr>
        <w:t>personal information</w:t>
      </w:r>
      <w:r>
        <w:rPr>
          <w:color w:val="auto"/>
          <w:sz w:val="22"/>
          <w:szCs w:val="22"/>
        </w:rPr>
        <w:t>.</w:t>
      </w:r>
    </w:p>
    <w:p w14:paraId="3E526C2F" w14:textId="113E33A1" w:rsidR="00074B2F" w:rsidRPr="004E29C8" w:rsidRDefault="00074B2F" w:rsidP="00725004">
      <w:pPr>
        <w:pStyle w:val="Default"/>
        <w:pBdr>
          <w:top w:val="single" w:sz="4" w:space="1" w:color="auto"/>
          <w:left w:val="single" w:sz="4" w:space="4" w:color="auto"/>
          <w:bottom w:val="single" w:sz="4" w:space="1" w:color="auto"/>
          <w:right w:val="single" w:sz="4" w:space="4" w:color="auto"/>
        </w:pBdr>
        <w:shd w:val="clear" w:color="auto" w:fill="E1F2F2" w:themeFill="accent5" w:themeFillTint="33"/>
        <w:spacing w:after="60"/>
        <w:rPr>
          <w:color w:val="auto"/>
          <w:sz w:val="21"/>
          <w:szCs w:val="21"/>
        </w:rPr>
      </w:pPr>
      <w:r w:rsidRPr="004E29C8">
        <w:rPr>
          <w:b/>
          <w:bCs/>
          <w:i/>
          <w:iCs/>
          <w:color w:val="auto"/>
          <w:sz w:val="21"/>
          <w:szCs w:val="21"/>
        </w:rPr>
        <w:t>Personal information</w:t>
      </w:r>
      <w:r w:rsidRPr="004E29C8">
        <w:rPr>
          <w:color w:val="auto"/>
          <w:sz w:val="21"/>
          <w:szCs w:val="21"/>
        </w:rPr>
        <w:t xml:space="preserve"> is defined as</w:t>
      </w:r>
      <w:r w:rsidRPr="004E29C8">
        <w:rPr>
          <w:i/>
          <w:iCs/>
          <w:color w:val="auto"/>
          <w:sz w:val="21"/>
          <w:szCs w:val="21"/>
        </w:rPr>
        <w:t xml:space="preserve"> </w:t>
      </w:r>
      <w:r w:rsidRPr="004E29C8">
        <w:rPr>
          <w:color w:val="auto"/>
          <w:sz w:val="21"/>
          <w:szCs w:val="21"/>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Pr="004E29C8">
        <w:rPr>
          <w:i/>
          <w:iCs/>
          <w:color w:val="auto"/>
          <w:sz w:val="21"/>
          <w:szCs w:val="21"/>
        </w:rPr>
        <w:t>.</w:t>
      </w:r>
      <w:r w:rsidRPr="004E29C8">
        <w:rPr>
          <w:rStyle w:val="FootnoteReference"/>
          <w:i/>
          <w:iCs/>
          <w:color w:val="auto"/>
          <w:sz w:val="21"/>
          <w:szCs w:val="21"/>
        </w:rPr>
        <w:footnoteReference w:id="2"/>
      </w:r>
    </w:p>
    <w:p w14:paraId="43DC69D9" w14:textId="77777777" w:rsidR="00074B2F" w:rsidRDefault="00074B2F" w:rsidP="00725004">
      <w:pPr>
        <w:pStyle w:val="Default"/>
        <w:spacing w:before="240"/>
        <w:rPr>
          <w:color w:val="auto"/>
          <w:sz w:val="22"/>
          <w:szCs w:val="22"/>
        </w:rPr>
      </w:pPr>
      <w:r w:rsidRPr="00DD38ED">
        <w:rPr>
          <w:color w:val="auto"/>
          <w:sz w:val="22"/>
          <w:szCs w:val="22"/>
        </w:rPr>
        <w:t>An</w:t>
      </w:r>
      <w:r>
        <w:rPr>
          <w:i/>
          <w:iCs/>
          <w:color w:val="auto"/>
          <w:sz w:val="22"/>
          <w:szCs w:val="22"/>
        </w:rPr>
        <w:t xml:space="preserve"> individual </w:t>
      </w:r>
      <w:r>
        <w:rPr>
          <w:color w:val="auto"/>
          <w:sz w:val="22"/>
          <w:szCs w:val="22"/>
        </w:rPr>
        <w:t>is a natural person and does not include a company or corporation.</w:t>
      </w:r>
    </w:p>
    <w:p w14:paraId="79D591C1" w14:textId="77777777" w:rsidR="00074B2F" w:rsidRDefault="00074B2F" w:rsidP="00074B2F">
      <w:pPr>
        <w:pStyle w:val="Default"/>
        <w:rPr>
          <w:color w:val="auto"/>
          <w:sz w:val="22"/>
          <w:szCs w:val="22"/>
        </w:rPr>
      </w:pPr>
    </w:p>
    <w:p w14:paraId="114596D9" w14:textId="77777777" w:rsidR="00074B2F" w:rsidRDefault="00074B2F" w:rsidP="00074B2F">
      <w:pPr>
        <w:pStyle w:val="Default"/>
        <w:rPr>
          <w:color w:val="auto"/>
          <w:sz w:val="22"/>
          <w:szCs w:val="22"/>
        </w:rPr>
      </w:pPr>
      <w:r>
        <w:rPr>
          <w:color w:val="auto"/>
          <w:sz w:val="22"/>
          <w:szCs w:val="22"/>
        </w:rPr>
        <w:t>Information may reveal a person’s identity even if their name is not mentioned if their identity can be deduced.</w:t>
      </w:r>
    </w:p>
    <w:p w14:paraId="35B8AE84" w14:textId="77777777" w:rsidR="00074B2F" w:rsidRDefault="00074B2F" w:rsidP="00074B2F">
      <w:pPr>
        <w:pStyle w:val="Default"/>
        <w:rPr>
          <w:color w:val="auto"/>
          <w:sz w:val="22"/>
          <w:szCs w:val="22"/>
        </w:rPr>
      </w:pPr>
    </w:p>
    <w:p w14:paraId="090BD3D3" w14:textId="77777777" w:rsidR="00074B2F" w:rsidRDefault="00074B2F" w:rsidP="00074B2F">
      <w:pPr>
        <w:pStyle w:val="Default"/>
        <w:rPr>
          <w:color w:val="auto"/>
          <w:sz w:val="22"/>
          <w:szCs w:val="22"/>
        </w:rPr>
      </w:pPr>
      <w:r>
        <w:rPr>
          <w:color w:val="auto"/>
          <w:sz w:val="22"/>
          <w:szCs w:val="22"/>
        </w:rPr>
        <w:t>CSP staff must be able to identify personal information and how it should be managed.</w:t>
      </w:r>
    </w:p>
    <w:p w14:paraId="589A5677" w14:textId="77777777" w:rsidR="00A73276" w:rsidRDefault="00A73276" w:rsidP="00A73276">
      <w:pPr>
        <w:pStyle w:val="Heading2"/>
        <w:spacing w:after="120"/>
      </w:pPr>
      <w:r>
        <w:t xml:space="preserve">Obligations under the IP Act </w:t>
      </w:r>
    </w:p>
    <w:p w14:paraId="33F3E9A0" w14:textId="06AD6AAF" w:rsidR="00A73276" w:rsidRDefault="00A73276" w:rsidP="00A73276">
      <w:pPr>
        <w:spacing w:after="240"/>
      </w:pPr>
      <w:r>
        <w:t>If a CSP has been bound to comply with chapter 2, parts 1 or 2 and part 3 of the IP Act, they must comply with the Information Privacy Principles (</w:t>
      </w:r>
      <w:r w:rsidRPr="00A73276">
        <w:rPr>
          <w:b/>
          <w:bCs/>
        </w:rPr>
        <w:t>IPPs</w:t>
      </w:r>
      <w:r>
        <w:t>) and section 33 (overseas transfer).</w:t>
      </w:r>
    </w:p>
    <w:p w14:paraId="41C38F14" w14:textId="7A006FD6" w:rsidR="00CD6E0A" w:rsidRPr="00737FBB" w:rsidRDefault="00CD6E0A" w:rsidP="00CD6E0A">
      <w:pPr>
        <w:pStyle w:val="Heading2"/>
        <w:spacing w:after="120"/>
        <w:rPr>
          <w:color w:val="auto"/>
          <w:sz w:val="28"/>
          <w:szCs w:val="28"/>
        </w:rPr>
      </w:pPr>
      <w:r>
        <w:t>P</w:t>
      </w:r>
      <w:r w:rsidR="00A73276">
        <w:t>rivacy p</w:t>
      </w:r>
      <w:r>
        <w:t xml:space="preserve">olicy </w:t>
      </w:r>
    </w:p>
    <w:p w14:paraId="0654C7B0" w14:textId="77777777" w:rsidR="00CD6E0A" w:rsidRDefault="00CD6E0A" w:rsidP="00CD6E0A">
      <w:pPr>
        <w:pStyle w:val="Default"/>
        <w:rPr>
          <w:color w:val="auto"/>
          <w:sz w:val="22"/>
          <w:szCs w:val="22"/>
        </w:rPr>
      </w:pPr>
      <w:r>
        <w:rPr>
          <w:color w:val="auto"/>
          <w:sz w:val="22"/>
          <w:szCs w:val="22"/>
        </w:rPr>
        <w:t xml:space="preserve">CSPs must have a privacy plan or policy that outlines how they protect the privacy of people whose personal information they collect, use and disclose. </w:t>
      </w:r>
    </w:p>
    <w:p w14:paraId="7D7D611B" w14:textId="77777777" w:rsidR="00CD6E0A" w:rsidRDefault="00CD6E0A" w:rsidP="00CD6E0A">
      <w:pPr>
        <w:pStyle w:val="Default"/>
        <w:rPr>
          <w:color w:val="auto"/>
          <w:sz w:val="22"/>
          <w:szCs w:val="22"/>
        </w:rPr>
      </w:pPr>
    </w:p>
    <w:p w14:paraId="4E035586" w14:textId="77777777" w:rsidR="00CD6E0A" w:rsidRPr="004E29C8" w:rsidRDefault="00CD6E0A" w:rsidP="00CD6E0A">
      <w:pPr>
        <w:pStyle w:val="Default"/>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4E29C8">
        <w:rPr>
          <w:sz w:val="21"/>
          <w:szCs w:val="21"/>
        </w:rPr>
        <w:t xml:space="preserve">The Office of the Australian Information Commissioner has guidelines about developing a privacy policy available at </w:t>
      </w:r>
      <w:hyperlink r:id="rId15" w:history="1">
        <w:r w:rsidRPr="004E29C8">
          <w:rPr>
            <w:rStyle w:val="Hyperlink"/>
            <w:sz w:val="21"/>
            <w:szCs w:val="21"/>
          </w:rPr>
          <w:t>Chapter 1: APP 1 — Open and transparent management of personal information — OAIC</w:t>
        </w:r>
      </w:hyperlink>
      <w:r w:rsidRPr="004E29C8">
        <w:rPr>
          <w:rStyle w:val="FootnoteReference"/>
          <w:sz w:val="21"/>
          <w:szCs w:val="21"/>
        </w:rPr>
        <w:footnoteReference w:id="3"/>
      </w:r>
      <w:r w:rsidRPr="004E29C8">
        <w:rPr>
          <w:sz w:val="21"/>
          <w:szCs w:val="21"/>
        </w:rPr>
        <w:t xml:space="preserve"> </w:t>
      </w:r>
    </w:p>
    <w:p w14:paraId="188B18B7" w14:textId="71D30539" w:rsidR="00B938B9" w:rsidRPr="00737FBB" w:rsidRDefault="00B938B9" w:rsidP="00B938B9">
      <w:pPr>
        <w:pStyle w:val="Heading2"/>
        <w:spacing w:after="120"/>
        <w:rPr>
          <w:color w:val="auto"/>
          <w:sz w:val="28"/>
          <w:szCs w:val="28"/>
        </w:rPr>
      </w:pPr>
      <w:r>
        <w:t xml:space="preserve">Privacy practice </w:t>
      </w:r>
    </w:p>
    <w:p w14:paraId="70F4D450" w14:textId="21BE57AB" w:rsidR="00CD6E0A" w:rsidRDefault="00CD6E0A" w:rsidP="00CD6E0A">
      <w:pPr>
        <w:pStyle w:val="Default"/>
        <w:spacing w:before="120"/>
        <w:rPr>
          <w:color w:val="auto"/>
          <w:sz w:val="22"/>
          <w:szCs w:val="22"/>
        </w:rPr>
      </w:pPr>
      <w:r>
        <w:rPr>
          <w:color w:val="auto"/>
          <w:sz w:val="22"/>
          <w:szCs w:val="22"/>
        </w:rPr>
        <w:t xml:space="preserve">CSPs must provide regular (e.g. annual) privacy training to </w:t>
      </w:r>
      <w:r w:rsidR="00A73276">
        <w:rPr>
          <w:color w:val="auto"/>
          <w:sz w:val="22"/>
          <w:szCs w:val="22"/>
        </w:rPr>
        <w:t xml:space="preserve">all </w:t>
      </w:r>
      <w:r>
        <w:rPr>
          <w:color w:val="auto"/>
          <w:sz w:val="22"/>
          <w:szCs w:val="22"/>
        </w:rPr>
        <w:t xml:space="preserve">staff and ensure that </w:t>
      </w:r>
      <w:r w:rsidR="00A73276">
        <w:rPr>
          <w:color w:val="auto"/>
          <w:sz w:val="22"/>
          <w:szCs w:val="22"/>
        </w:rPr>
        <w:t xml:space="preserve">they </w:t>
      </w:r>
      <w:r>
        <w:rPr>
          <w:color w:val="auto"/>
          <w:sz w:val="22"/>
          <w:szCs w:val="22"/>
        </w:rPr>
        <w:t xml:space="preserve">understand their privacy obligations. </w:t>
      </w:r>
    </w:p>
    <w:p w14:paraId="58A6A619" w14:textId="77777777" w:rsidR="00B938B9" w:rsidRDefault="00B938B9" w:rsidP="00B938B9">
      <w:pPr>
        <w:pStyle w:val="Default"/>
        <w:rPr>
          <w:color w:val="auto"/>
          <w:sz w:val="22"/>
          <w:szCs w:val="22"/>
        </w:rPr>
      </w:pPr>
    </w:p>
    <w:p w14:paraId="42162674" w14:textId="77777777" w:rsidR="00CD6E0A" w:rsidRDefault="00CD6E0A" w:rsidP="00CD6E0A">
      <w:pPr>
        <w:pStyle w:val="Default"/>
        <w:rPr>
          <w:color w:val="auto"/>
          <w:sz w:val="22"/>
          <w:szCs w:val="22"/>
        </w:rPr>
      </w:pPr>
      <w:r>
        <w:rPr>
          <w:color w:val="auto"/>
          <w:sz w:val="22"/>
          <w:szCs w:val="22"/>
        </w:rPr>
        <w:t>CSPs may also find it useful to nominate a staff member to be a Privacy Contact Officer, to provide privacy guidance and advice to other staff and deal with privacy issues.</w:t>
      </w:r>
    </w:p>
    <w:p w14:paraId="66CDFDFD" w14:textId="77777777" w:rsidR="00CD6E0A" w:rsidRDefault="00CD6E0A" w:rsidP="00CD6E0A">
      <w:pPr>
        <w:pStyle w:val="Default"/>
        <w:rPr>
          <w:color w:val="auto"/>
          <w:sz w:val="22"/>
          <w:szCs w:val="22"/>
        </w:rPr>
      </w:pPr>
    </w:p>
    <w:p w14:paraId="0795C88D" w14:textId="054A1A7F" w:rsidR="00CD6E0A" w:rsidRDefault="00CD6E0A" w:rsidP="00CD6E0A">
      <w:pPr>
        <w:pStyle w:val="Default"/>
        <w:rPr>
          <w:sz w:val="22"/>
          <w:szCs w:val="22"/>
        </w:rPr>
      </w:pPr>
      <w:r>
        <w:rPr>
          <w:sz w:val="22"/>
          <w:szCs w:val="22"/>
        </w:rPr>
        <w:lastRenderedPageBreak/>
        <w:t xml:space="preserve">If a </w:t>
      </w:r>
      <w:r w:rsidR="00A73276">
        <w:rPr>
          <w:sz w:val="22"/>
          <w:szCs w:val="22"/>
        </w:rPr>
        <w:t xml:space="preserve">bound </w:t>
      </w:r>
      <w:r>
        <w:rPr>
          <w:sz w:val="22"/>
          <w:szCs w:val="22"/>
        </w:rPr>
        <w:t>CSP fails to comply with its privacy obligations, it will be liable for any breaches under the IP Act (including potential liability to pay compensation up to $100,000 per breach)</w:t>
      </w:r>
      <w:r>
        <w:rPr>
          <w:rStyle w:val="FootnoteReference"/>
          <w:szCs w:val="22"/>
        </w:rPr>
        <w:footnoteReference w:id="4"/>
      </w:r>
      <w:r>
        <w:rPr>
          <w:sz w:val="22"/>
          <w:szCs w:val="22"/>
        </w:rPr>
        <w:t xml:space="preserve"> and possibly breach of contract.</w:t>
      </w:r>
    </w:p>
    <w:p w14:paraId="183B8372" w14:textId="77777777" w:rsidR="00CD6E0A" w:rsidRDefault="00CD6E0A" w:rsidP="00CD6E0A">
      <w:pPr>
        <w:pStyle w:val="Default"/>
        <w:rPr>
          <w:sz w:val="22"/>
          <w:szCs w:val="22"/>
        </w:rPr>
      </w:pPr>
    </w:p>
    <w:p w14:paraId="3E2E650F" w14:textId="77777777" w:rsidR="00CD6E0A" w:rsidRDefault="00CD6E0A" w:rsidP="00CD6E0A">
      <w:pPr>
        <w:pStyle w:val="Default"/>
        <w:rPr>
          <w:bCs/>
          <w:sz w:val="22"/>
          <w:szCs w:val="22"/>
        </w:rPr>
      </w:pPr>
      <w:r>
        <w:rPr>
          <w:bCs/>
          <w:sz w:val="22"/>
          <w:szCs w:val="22"/>
        </w:rPr>
        <w:t>G</w:t>
      </w:r>
      <w:r w:rsidRPr="00020CE1">
        <w:rPr>
          <w:bCs/>
          <w:sz w:val="22"/>
          <w:szCs w:val="22"/>
        </w:rPr>
        <w:t>iven the liability that</w:t>
      </w:r>
      <w:r>
        <w:rPr>
          <w:bCs/>
          <w:sz w:val="22"/>
          <w:szCs w:val="22"/>
        </w:rPr>
        <w:t xml:space="preserve"> they</w:t>
      </w:r>
      <w:r w:rsidRPr="00020CE1">
        <w:rPr>
          <w:bCs/>
          <w:sz w:val="22"/>
          <w:szCs w:val="22"/>
        </w:rPr>
        <w:t xml:space="preserve"> </w:t>
      </w:r>
      <w:r>
        <w:rPr>
          <w:bCs/>
          <w:sz w:val="22"/>
          <w:szCs w:val="22"/>
        </w:rPr>
        <w:t>may incur if they fail to comply with their obligations under the IP Act</w:t>
      </w:r>
      <w:r w:rsidRPr="00020CE1">
        <w:rPr>
          <w:bCs/>
          <w:sz w:val="22"/>
          <w:szCs w:val="22"/>
        </w:rPr>
        <w:t>,</w:t>
      </w:r>
      <w:r>
        <w:rPr>
          <w:bCs/>
          <w:sz w:val="22"/>
          <w:szCs w:val="22"/>
        </w:rPr>
        <w:t xml:space="preserve"> it is recommended that bound CSPs seek independent legal advice as necessary,</w:t>
      </w:r>
      <w:r w:rsidRPr="00020CE1">
        <w:rPr>
          <w:bCs/>
          <w:sz w:val="22"/>
          <w:szCs w:val="22"/>
        </w:rPr>
        <w:t xml:space="preserve"> </w:t>
      </w:r>
      <w:r>
        <w:rPr>
          <w:bCs/>
          <w:sz w:val="22"/>
          <w:szCs w:val="22"/>
        </w:rPr>
        <w:t>about how to meet their privacy</w:t>
      </w:r>
      <w:r w:rsidRPr="00020CE1">
        <w:rPr>
          <w:bCs/>
          <w:sz w:val="22"/>
          <w:szCs w:val="22"/>
        </w:rPr>
        <w:t xml:space="preserve"> obligations.</w:t>
      </w:r>
    </w:p>
    <w:p w14:paraId="14E7D694" w14:textId="77777777" w:rsidR="00CD6E0A" w:rsidRDefault="00CD6E0A" w:rsidP="00CD6E0A">
      <w:pPr>
        <w:pStyle w:val="Default"/>
        <w:rPr>
          <w:sz w:val="22"/>
          <w:szCs w:val="22"/>
        </w:rPr>
      </w:pPr>
    </w:p>
    <w:p w14:paraId="5152EE0E" w14:textId="77777777" w:rsidR="00074B2F" w:rsidRPr="00B938B9" w:rsidRDefault="00074B2F" w:rsidP="00074B2F">
      <w:pPr>
        <w:pStyle w:val="Default"/>
        <w:spacing w:after="60"/>
        <w:rPr>
          <w:b/>
          <w:bCs/>
          <w:color w:val="006666"/>
          <w:sz w:val="28"/>
          <w:szCs w:val="28"/>
        </w:rPr>
      </w:pPr>
      <w:r w:rsidRPr="00B938B9">
        <w:rPr>
          <w:b/>
          <w:bCs/>
          <w:color w:val="006666"/>
          <w:sz w:val="28"/>
          <w:szCs w:val="28"/>
        </w:rPr>
        <w:t>Obligations under the IP Act</w:t>
      </w:r>
    </w:p>
    <w:p w14:paraId="75836FD1" w14:textId="77777777" w:rsidR="00074B2F" w:rsidRDefault="00074B2F" w:rsidP="00074B2F">
      <w:pPr>
        <w:pStyle w:val="Default"/>
        <w:rPr>
          <w:sz w:val="22"/>
          <w:szCs w:val="22"/>
        </w:rPr>
      </w:pPr>
      <w:bookmarkStart w:id="5" w:name="_Hlk193194672"/>
      <w:r>
        <w:rPr>
          <w:sz w:val="22"/>
          <w:szCs w:val="22"/>
        </w:rPr>
        <w:t xml:space="preserve">The IP Act requires a bound CSP to comply with the 11 Information Privacy Principles </w:t>
      </w:r>
      <w:r w:rsidRPr="003913E2">
        <w:rPr>
          <w:sz w:val="22"/>
          <w:szCs w:val="22"/>
        </w:rPr>
        <w:t>(</w:t>
      </w:r>
      <w:r w:rsidRPr="00720786">
        <w:rPr>
          <w:b/>
          <w:sz w:val="22"/>
          <w:szCs w:val="22"/>
        </w:rPr>
        <w:t>IPPs</w:t>
      </w:r>
      <w:r>
        <w:rPr>
          <w:sz w:val="22"/>
          <w:szCs w:val="22"/>
        </w:rPr>
        <w:t>) set out in schedule 3 of the Act and summarised at the end of this fact sheet.</w:t>
      </w:r>
      <w:r>
        <w:rPr>
          <w:rStyle w:val="FootnoteReference"/>
          <w:szCs w:val="22"/>
        </w:rPr>
        <w:footnoteReference w:id="5"/>
      </w:r>
    </w:p>
    <w:p w14:paraId="4E6591DF" w14:textId="77777777" w:rsidR="00074B2F" w:rsidRDefault="00074B2F" w:rsidP="00074B2F">
      <w:pPr>
        <w:pStyle w:val="Default"/>
        <w:rPr>
          <w:sz w:val="22"/>
          <w:szCs w:val="22"/>
        </w:rPr>
      </w:pPr>
    </w:p>
    <w:p w14:paraId="2999F60C" w14:textId="77777777" w:rsidR="00074B2F" w:rsidRDefault="00074B2F" w:rsidP="00074B2F">
      <w:pPr>
        <w:pStyle w:val="Default"/>
        <w:rPr>
          <w:sz w:val="22"/>
          <w:szCs w:val="22"/>
        </w:rPr>
      </w:pPr>
      <w:r>
        <w:rPr>
          <w:sz w:val="22"/>
          <w:szCs w:val="22"/>
        </w:rPr>
        <w:t xml:space="preserve">Bound CSPs are also required to comply with section 33 of the IP Act, which prohibits the </w:t>
      </w:r>
      <w:bookmarkEnd w:id="5"/>
      <w:r>
        <w:rPr>
          <w:sz w:val="22"/>
          <w:szCs w:val="22"/>
        </w:rPr>
        <w:t xml:space="preserve">transfer of personal information outside Australia, except in limited circumstances. </w:t>
      </w:r>
    </w:p>
    <w:p w14:paraId="128102A1" w14:textId="77777777" w:rsidR="00074B2F" w:rsidRDefault="00074B2F" w:rsidP="00074B2F">
      <w:pPr>
        <w:pStyle w:val="Default"/>
        <w:rPr>
          <w:sz w:val="22"/>
          <w:szCs w:val="22"/>
        </w:rPr>
      </w:pPr>
    </w:p>
    <w:p w14:paraId="7A4E8CE9" w14:textId="77777777" w:rsidR="00074B2F" w:rsidRDefault="00074B2F" w:rsidP="00074B2F">
      <w:pPr>
        <w:pStyle w:val="Default"/>
        <w:rPr>
          <w:color w:val="auto"/>
          <w:sz w:val="22"/>
          <w:szCs w:val="22"/>
        </w:rPr>
      </w:pPr>
      <w:r>
        <w:rPr>
          <w:sz w:val="22"/>
          <w:szCs w:val="22"/>
        </w:rPr>
        <w:t>Overseas transfer includes circumstances where</w:t>
      </w:r>
      <w:r w:rsidRPr="0020004E">
        <w:rPr>
          <w:sz w:val="22"/>
          <w:szCs w:val="22"/>
        </w:rPr>
        <w:t xml:space="preserve"> </w:t>
      </w:r>
      <w:r>
        <w:rPr>
          <w:sz w:val="22"/>
          <w:szCs w:val="22"/>
        </w:rPr>
        <w:t>the CSP</w:t>
      </w:r>
      <w:r w:rsidRPr="0020004E">
        <w:rPr>
          <w:sz w:val="22"/>
          <w:szCs w:val="22"/>
        </w:rPr>
        <w:t xml:space="preserve"> use</w:t>
      </w:r>
      <w:r>
        <w:rPr>
          <w:sz w:val="22"/>
          <w:szCs w:val="22"/>
        </w:rPr>
        <w:t>s</w:t>
      </w:r>
      <w:r w:rsidRPr="0020004E">
        <w:rPr>
          <w:sz w:val="22"/>
          <w:szCs w:val="22"/>
        </w:rPr>
        <w:t xml:space="preserve"> a cloud-based </w:t>
      </w:r>
      <w:r w:rsidRPr="0020004E">
        <w:rPr>
          <w:color w:val="auto"/>
          <w:sz w:val="22"/>
          <w:szCs w:val="22"/>
        </w:rPr>
        <w:t xml:space="preserve">service </w:t>
      </w:r>
      <w:r>
        <w:rPr>
          <w:color w:val="auto"/>
          <w:sz w:val="22"/>
          <w:szCs w:val="22"/>
        </w:rPr>
        <w:t xml:space="preserve">that is </w:t>
      </w:r>
      <w:r w:rsidRPr="0020004E">
        <w:rPr>
          <w:color w:val="auto"/>
          <w:sz w:val="22"/>
          <w:szCs w:val="22"/>
        </w:rPr>
        <w:t>hosted overseas, or if personal information is posted on the internet</w:t>
      </w:r>
      <w:r>
        <w:rPr>
          <w:color w:val="auto"/>
          <w:sz w:val="22"/>
          <w:szCs w:val="22"/>
        </w:rPr>
        <w:t xml:space="preserve"> and accessed from overseas</w:t>
      </w:r>
      <w:r w:rsidRPr="0020004E">
        <w:rPr>
          <w:color w:val="auto"/>
          <w:sz w:val="22"/>
          <w:szCs w:val="22"/>
        </w:rPr>
        <w:t>.</w:t>
      </w:r>
    </w:p>
    <w:p w14:paraId="3280D037" w14:textId="77777777" w:rsidR="00074B2F" w:rsidRDefault="00074B2F" w:rsidP="00074B2F">
      <w:pPr>
        <w:pStyle w:val="Default"/>
        <w:rPr>
          <w:color w:val="auto"/>
          <w:sz w:val="22"/>
          <w:szCs w:val="22"/>
        </w:rPr>
      </w:pPr>
    </w:p>
    <w:p w14:paraId="12C09457" w14:textId="77777777" w:rsidR="00074B2F" w:rsidRPr="00355A41" w:rsidRDefault="00074B2F" w:rsidP="00074B2F">
      <w:pPr>
        <w:pStyle w:val="Default"/>
        <w:rPr>
          <w:i/>
          <w:iCs/>
          <w:color w:val="auto"/>
          <w:sz w:val="22"/>
          <w:szCs w:val="22"/>
        </w:rPr>
      </w:pPr>
      <w:r>
        <w:rPr>
          <w:color w:val="auto"/>
          <w:sz w:val="22"/>
          <w:szCs w:val="22"/>
        </w:rPr>
        <w:t xml:space="preserve">The standard contract terms require that CSPs seek consent from the department if they intend to send personal information overseas. CSPs must provide evidence of how they will meet their privacy obligations if personal information is transferred overseas. </w:t>
      </w:r>
    </w:p>
    <w:p w14:paraId="01079697" w14:textId="77777777" w:rsidR="00074B2F" w:rsidRDefault="00074B2F" w:rsidP="00074B2F">
      <w:pPr>
        <w:pStyle w:val="Default"/>
        <w:rPr>
          <w:color w:val="auto"/>
          <w:sz w:val="22"/>
          <w:szCs w:val="22"/>
        </w:rPr>
      </w:pPr>
    </w:p>
    <w:p w14:paraId="1B28CF30" w14:textId="77777777" w:rsidR="00074B2F" w:rsidRPr="004E29C8" w:rsidRDefault="00074B2F" w:rsidP="00725004">
      <w:pPr>
        <w:pStyle w:val="Default"/>
        <w:pBdr>
          <w:top w:val="single" w:sz="4" w:space="0" w:color="auto"/>
          <w:left w:val="single" w:sz="4" w:space="4" w:color="auto"/>
          <w:bottom w:val="single" w:sz="4" w:space="1" w:color="auto"/>
          <w:right w:val="single" w:sz="4" w:space="4" w:color="auto"/>
        </w:pBdr>
        <w:shd w:val="clear" w:color="auto" w:fill="E1F2F2" w:themeFill="accent5" w:themeFillTint="33"/>
        <w:rPr>
          <w:sz w:val="21"/>
          <w:szCs w:val="21"/>
        </w:rPr>
      </w:pPr>
      <w:r w:rsidRPr="004E29C8">
        <w:rPr>
          <w:color w:val="auto"/>
          <w:sz w:val="21"/>
          <w:szCs w:val="21"/>
        </w:rPr>
        <w:t>The Queensland Office of the Information Commissioner (</w:t>
      </w:r>
      <w:r w:rsidRPr="004E29C8">
        <w:rPr>
          <w:b/>
          <w:bCs/>
          <w:color w:val="auto"/>
          <w:sz w:val="21"/>
          <w:szCs w:val="21"/>
        </w:rPr>
        <w:t>OIC</w:t>
      </w:r>
      <w:r w:rsidRPr="004E29C8">
        <w:rPr>
          <w:color w:val="auto"/>
          <w:sz w:val="21"/>
          <w:szCs w:val="21"/>
        </w:rPr>
        <w:t xml:space="preserve">) has published guidance about when personal information may be transferred overseas </w:t>
      </w:r>
      <w:hyperlink r:id="rId16" w:history="1">
        <w:r w:rsidRPr="004E29C8">
          <w:rPr>
            <w:rStyle w:val="Hyperlink"/>
            <w:sz w:val="21"/>
            <w:szCs w:val="21"/>
          </w:rPr>
          <w:t>Sending personal information out of Australia | Office of the Information Commissioner Queensland (oic.qld.gov.au)</w:t>
        </w:r>
      </w:hyperlink>
    </w:p>
    <w:p w14:paraId="07A11DFD" w14:textId="77777777" w:rsidR="00074B2F" w:rsidRPr="004E29C8" w:rsidRDefault="00074B2F" w:rsidP="00074B2F">
      <w:pPr>
        <w:pStyle w:val="Default"/>
        <w:rPr>
          <w:color w:val="auto"/>
          <w:sz w:val="21"/>
          <w:szCs w:val="21"/>
        </w:rPr>
      </w:pPr>
    </w:p>
    <w:p w14:paraId="4B081EB5" w14:textId="77777777" w:rsidR="00074B2F" w:rsidRPr="00B938B9" w:rsidRDefault="00074B2F" w:rsidP="00074B2F">
      <w:pPr>
        <w:pStyle w:val="Default"/>
        <w:spacing w:after="60"/>
        <w:rPr>
          <w:b/>
          <w:bCs/>
          <w:color w:val="006666"/>
          <w:sz w:val="28"/>
          <w:szCs w:val="28"/>
        </w:rPr>
      </w:pPr>
      <w:r w:rsidRPr="00B938B9">
        <w:rPr>
          <w:b/>
          <w:bCs/>
          <w:color w:val="006666"/>
          <w:sz w:val="28"/>
          <w:szCs w:val="28"/>
        </w:rPr>
        <w:t>Obligations under other legislation</w:t>
      </w:r>
    </w:p>
    <w:p w14:paraId="118ED2E5" w14:textId="77777777" w:rsidR="00074B2F" w:rsidRDefault="00074B2F" w:rsidP="00074B2F">
      <w:pPr>
        <w:pStyle w:val="Default"/>
        <w:rPr>
          <w:i/>
          <w:iCs/>
          <w:color w:val="auto"/>
          <w:sz w:val="22"/>
          <w:szCs w:val="22"/>
        </w:rPr>
      </w:pPr>
      <w:r>
        <w:rPr>
          <w:color w:val="auto"/>
          <w:sz w:val="22"/>
          <w:szCs w:val="22"/>
        </w:rPr>
        <w:t xml:space="preserve">The IP Act is subject to other legislation that may restrict the disclosure of information, e.g. confidentiality provisions in </w:t>
      </w:r>
      <w:bookmarkStart w:id="6" w:name="_Hlk193194850"/>
      <w:r>
        <w:fldChar w:fldCharType="begin"/>
      </w:r>
      <w:r>
        <w:instrText>HYPERLINK "https://www.legislation.qld.gov.au/view/html/inforce/current/act-1999-010"</w:instrText>
      </w:r>
      <w:r>
        <w:fldChar w:fldCharType="separate"/>
      </w:r>
      <w:r w:rsidRPr="0049698E">
        <w:rPr>
          <w:rStyle w:val="Hyperlink"/>
          <w:i/>
          <w:iCs/>
          <w:sz w:val="22"/>
          <w:szCs w:val="22"/>
        </w:rPr>
        <w:t>Child Protection Act 1999</w:t>
      </w:r>
      <w:r>
        <w:rPr>
          <w:rStyle w:val="Hyperlink"/>
          <w:i/>
          <w:iCs/>
          <w:sz w:val="22"/>
          <w:szCs w:val="22"/>
        </w:rPr>
        <w:fldChar w:fldCharType="end"/>
      </w:r>
      <w:r w:rsidRPr="0049698E">
        <w:rPr>
          <w:i/>
          <w:iCs/>
          <w:color w:val="auto"/>
          <w:sz w:val="22"/>
          <w:szCs w:val="22"/>
        </w:rPr>
        <w:t xml:space="preserve"> </w:t>
      </w:r>
      <w:r w:rsidRPr="0049698E">
        <w:rPr>
          <w:color w:val="auto"/>
          <w:sz w:val="22"/>
          <w:szCs w:val="22"/>
        </w:rPr>
        <w:t xml:space="preserve">or </w:t>
      </w:r>
      <w:hyperlink r:id="rId17" w:history="1">
        <w:r w:rsidRPr="0049698E">
          <w:rPr>
            <w:rStyle w:val="Hyperlink"/>
            <w:i/>
            <w:iCs/>
            <w:sz w:val="22"/>
            <w:szCs w:val="22"/>
          </w:rPr>
          <w:t>Disability Services Act 2006</w:t>
        </w:r>
      </w:hyperlink>
      <w:bookmarkEnd w:id="6"/>
      <w:r>
        <w:rPr>
          <w:i/>
          <w:iCs/>
          <w:color w:val="auto"/>
          <w:sz w:val="22"/>
          <w:szCs w:val="22"/>
        </w:rPr>
        <w:t xml:space="preserve">. </w:t>
      </w:r>
    </w:p>
    <w:p w14:paraId="2F3D61C6" w14:textId="77777777" w:rsidR="00074B2F" w:rsidRDefault="00074B2F" w:rsidP="00074B2F">
      <w:pPr>
        <w:pStyle w:val="Default"/>
        <w:rPr>
          <w:i/>
          <w:iCs/>
          <w:color w:val="auto"/>
          <w:sz w:val="22"/>
          <w:szCs w:val="22"/>
        </w:rPr>
      </w:pPr>
    </w:p>
    <w:p w14:paraId="60DCC6D0" w14:textId="0108F729" w:rsidR="00074B2F" w:rsidRDefault="00720786" w:rsidP="00074B2F">
      <w:pPr>
        <w:pStyle w:val="Default"/>
        <w:rPr>
          <w:color w:val="auto"/>
          <w:sz w:val="22"/>
          <w:szCs w:val="22"/>
        </w:rPr>
      </w:pPr>
      <w:r>
        <w:rPr>
          <w:color w:val="auto"/>
          <w:sz w:val="22"/>
          <w:szCs w:val="22"/>
        </w:rPr>
        <w:t>The</w:t>
      </w:r>
      <w:r w:rsidR="00074B2F">
        <w:rPr>
          <w:color w:val="auto"/>
          <w:sz w:val="22"/>
          <w:szCs w:val="22"/>
        </w:rPr>
        <w:t xml:space="preserve"> department expects CSPs to be aware of any legislation relevant to the performance of their contractual obligations.</w:t>
      </w:r>
    </w:p>
    <w:p w14:paraId="10C40A42" w14:textId="77777777" w:rsidR="00074B2F" w:rsidRPr="00D701CD" w:rsidRDefault="00074B2F" w:rsidP="00B938B9">
      <w:pPr>
        <w:pStyle w:val="Default"/>
        <w:rPr>
          <w:b/>
          <w:bCs/>
          <w:color w:val="auto"/>
          <w:sz w:val="22"/>
          <w:szCs w:val="22"/>
        </w:rPr>
      </w:pPr>
    </w:p>
    <w:p w14:paraId="4BCA40A5" w14:textId="77777777" w:rsidR="00074B2F" w:rsidRPr="00B938B9" w:rsidRDefault="00074B2F" w:rsidP="00074B2F">
      <w:pPr>
        <w:pStyle w:val="Default"/>
        <w:spacing w:after="60"/>
        <w:rPr>
          <w:b/>
          <w:bCs/>
          <w:color w:val="006666"/>
          <w:sz w:val="28"/>
          <w:szCs w:val="28"/>
        </w:rPr>
      </w:pPr>
      <w:r w:rsidRPr="00B938B9">
        <w:rPr>
          <w:b/>
          <w:bCs/>
          <w:color w:val="006666"/>
          <w:sz w:val="28"/>
          <w:szCs w:val="28"/>
        </w:rPr>
        <w:t xml:space="preserve">Privacy breaches </w:t>
      </w:r>
    </w:p>
    <w:p w14:paraId="291EDC66" w14:textId="4D2E22BE" w:rsidR="00074B2F" w:rsidRDefault="00074B2F" w:rsidP="00074B2F">
      <w:pPr>
        <w:pStyle w:val="Default"/>
        <w:rPr>
          <w:color w:val="auto"/>
          <w:sz w:val="22"/>
          <w:szCs w:val="22"/>
        </w:rPr>
      </w:pPr>
      <w:r>
        <w:rPr>
          <w:color w:val="auto"/>
          <w:sz w:val="22"/>
          <w:szCs w:val="22"/>
        </w:rPr>
        <w:t>Privacy breaches may be accidental or deliberate</w:t>
      </w:r>
      <w:r w:rsidR="00B938B9">
        <w:rPr>
          <w:color w:val="auto"/>
          <w:sz w:val="22"/>
          <w:szCs w:val="22"/>
        </w:rPr>
        <w:t xml:space="preserve"> e.g.</w:t>
      </w:r>
      <w:r>
        <w:rPr>
          <w:color w:val="auto"/>
          <w:sz w:val="22"/>
          <w:szCs w:val="22"/>
        </w:rPr>
        <w:t xml:space="preserve">, an email may be sent to the wrong address or the CSP’s computer system could be hacked. </w:t>
      </w:r>
      <w:r w:rsidR="00B938B9">
        <w:rPr>
          <w:color w:val="auto"/>
          <w:sz w:val="22"/>
          <w:szCs w:val="22"/>
        </w:rPr>
        <w:t xml:space="preserve">They may </w:t>
      </w:r>
      <w:r w:rsidR="004E29C8">
        <w:rPr>
          <w:color w:val="auto"/>
          <w:sz w:val="22"/>
          <w:szCs w:val="22"/>
        </w:rPr>
        <w:t>affect</w:t>
      </w:r>
      <w:r w:rsidR="00B938B9">
        <w:rPr>
          <w:color w:val="auto"/>
          <w:sz w:val="22"/>
          <w:szCs w:val="22"/>
        </w:rPr>
        <w:t xml:space="preserve"> the information of one person or many. </w:t>
      </w:r>
    </w:p>
    <w:p w14:paraId="1FFA0275" w14:textId="77777777" w:rsidR="00074B2F" w:rsidRDefault="00074B2F" w:rsidP="00074B2F">
      <w:pPr>
        <w:pStyle w:val="Default"/>
        <w:rPr>
          <w:color w:val="auto"/>
          <w:sz w:val="22"/>
          <w:szCs w:val="22"/>
        </w:rPr>
      </w:pPr>
    </w:p>
    <w:p w14:paraId="553D0E55" w14:textId="7DF79FAC" w:rsidR="00074B2F" w:rsidRDefault="00074B2F" w:rsidP="00074B2F">
      <w:pPr>
        <w:pStyle w:val="Default"/>
        <w:rPr>
          <w:color w:val="auto"/>
          <w:sz w:val="22"/>
          <w:szCs w:val="22"/>
        </w:rPr>
      </w:pPr>
      <w:r>
        <w:rPr>
          <w:color w:val="auto"/>
          <w:sz w:val="22"/>
          <w:szCs w:val="22"/>
        </w:rPr>
        <w:t xml:space="preserve">In all cases, it is important that CSPs take immediate containment action and do a risk assessment, so that any potential harm can be prevented or minimised. </w:t>
      </w:r>
    </w:p>
    <w:p w14:paraId="225BA5D4" w14:textId="77777777" w:rsidR="00074B2F" w:rsidRDefault="00074B2F" w:rsidP="00074B2F">
      <w:pPr>
        <w:pStyle w:val="Default"/>
        <w:rPr>
          <w:color w:val="auto"/>
          <w:sz w:val="22"/>
          <w:szCs w:val="22"/>
        </w:rPr>
      </w:pPr>
    </w:p>
    <w:p w14:paraId="303C8E74" w14:textId="76653E4B" w:rsidR="00725004" w:rsidRPr="004E29C8" w:rsidRDefault="00725004" w:rsidP="00725004">
      <w:pPr>
        <w:pStyle w:val="Default"/>
        <w:pBdr>
          <w:top w:val="single" w:sz="4" w:space="1" w:color="auto"/>
          <w:left w:val="single" w:sz="4" w:space="4" w:color="auto"/>
          <w:bottom w:val="single" w:sz="4" w:space="1" w:color="auto"/>
          <w:right w:val="single" w:sz="4" w:space="4" w:color="auto"/>
        </w:pBdr>
        <w:shd w:val="clear" w:color="auto" w:fill="E1F2F2" w:themeFill="accent5" w:themeFillTint="33"/>
        <w:rPr>
          <w:color w:val="auto"/>
          <w:sz w:val="21"/>
          <w:szCs w:val="21"/>
        </w:rPr>
      </w:pPr>
      <w:r w:rsidRPr="004E29C8">
        <w:rPr>
          <w:color w:val="auto"/>
          <w:sz w:val="21"/>
          <w:szCs w:val="21"/>
        </w:rPr>
        <w:t xml:space="preserve">The OIC has published guidance about how to respond to </w:t>
      </w:r>
      <w:hyperlink r:id="rId18" w:history="1">
        <w:r w:rsidRPr="004E29C8">
          <w:rPr>
            <w:rStyle w:val="Hyperlink"/>
            <w:sz w:val="21"/>
            <w:szCs w:val="21"/>
          </w:rPr>
          <w:t>breaches</w:t>
        </w:r>
      </w:hyperlink>
      <w:r w:rsidRPr="004E29C8">
        <w:rPr>
          <w:color w:val="auto"/>
          <w:sz w:val="21"/>
          <w:szCs w:val="21"/>
        </w:rPr>
        <w:t xml:space="preserve">. </w:t>
      </w:r>
    </w:p>
    <w:p w14:paraId="1E31C34C" w14:textId="77777777" w:rsidR="00725004" w:rsidRPr="0049698E" w:rsidRDefault="00725004" w:rsidP="00725004">
      <w:pPr>
        <w:pStyle w:val="Default"/>
        <w:rPr>
          <w:b/>
          <w:bCs/>
          <w:color w:val="auto"/>
          <w:sz w:val="22"/>
          <w:szCs w:val="22"/>
        </w:rPr>
      </w:pPr>
    </w:p>
    <w:p w14:paraId="30F56C6A" w14:textId="79080F64" w:rsidR="00074B2F" w:rsidRDefault="00074B2F" w:rsidP="00074B2F">
      <w:pPr>
        <w:pStyle w:val="Default"/>
        <w:rPr>
          <w:color w:val="auto"/>
          <w:sz w:val="22"/>
          <w:szCs w:val="22"/>
        </w:rPr>
      </w:pPr>
      <w:r>
        <w:rPr>
          <w:color w:val="auto"/>
          <w:sz w:val="22"/>
          <w:szCs w:val="22"/>
        </w:rPr>
        <w:t xml:space="preserve">The CSP must also notify the department as soon as possible about any privacy breach. However, the CSP remains responsible for the breach, including </w:t>
      </w:r>
      <w:r w:rsidR="004E29C8">
        <w:rPr>
          <w:color w:val="auto"/>
          <w:sz w:val="22"/>
          <w:szCs w:val="22"/>
        </w:rPr>
        <w:t>taking</w:t>
      </w:r>
      <w:r>
        <w:rPr>
          <w:color w:val="auto"/>
          <w:sz w:val="22"/>
          <w:szCs w:val="22"/>
        </w:rPr>
        <w:t xml:space="preserve"> appropriate remedial action and deal with any complaints. </w:t>
      </w:r>
    </w:p>
    <w:p w14:paraId="11D21412" w14:textId="77777777" w:rsidR="00DA33F6" w:rsidRDefault="00DA33F6" w:rsidP="00074B2F">
      <w:pPr>
        <w:pStyle w:val="Default"/>
        <w:rPr>
          <w:color w:val="auto"/>
          <w:sz w:val="22"/>
          <w:szCs w:val="22"/>
        </w:rPr>
      </w:pPr>
    </w:p>
    <w:p w14:paraId="3B906C59" w14:textId="3C0D7DF1" w:rsidR="00DA33F6" w:rsidRDefault="00DA33F6" w:rsidP="00074B2F">
      <w:pPr>
        <w:pStyle w:val="Default"/>
        <w:rPr>
          <w:color w:val="auto"/>
          <w:sz w:val="22"/>
          <w:szCs w:val="22"/>
        </w:rPr>
      </w:pPr>
      <w:r>
        <w:rPr>
          <w:color w:val="auto"/>
          <w:sz w:val="22"/>
          <w:szCs w:val="22"/>
        </w:rPr>
        <w:t>The department may be required to notify the OIC and affected persons about the breach in some circumstances.</w:t>
      </w:r>
    </w:p>
    <w:p w14:paraId="524CF367" w14:textId="77777777" w:rsidR="00074B2F" w:rsidRDefault="00074B2F" w:rsidP="00074B2F">
      <w:pPr>
        <w:pStyle w:val="Default"/>
        <w:rPr>
          <w:color w:val="auto"/>
          <w:sz w:val="22"/>
          <w:szCs w:val="22"/>
        </w:rPr>
      </w:pPr>
    </w:p>
    <w:p w14:paraId="6D228889" w14:textId="77777777" w:rsidR="00074B2F" w:rsidRDefault="00074B2F" w:rsidP="00074B2F">
      <w:pPr>
        <w:pStyle w:val="Default"/>
        <w:rPr>
          <w:color w:val="auto"/>
          <w:sz w:val="22"/>
          <w:szCs w:val="22"/>
        </w:rPr>
      </w:pPr>
      <w:r>
        <w:rPr>
          <w:color w:val="auto"/>
          <w:sz w:val="22"/>
          <w:szCs w:val="22"/>
        </w:rPr>
        <w:t xml:space="preserve">The department cannot provide advice and the CSP should consider seeking independent advice about how to respond. </w:t>
      </w:r>
    </w:p>
    <w:p w14:paraId="19E699CA" w14:textId="77777777" w:rsidR="006E282F" w:rsidRDefault="006E282F" w:rsidP="00074B2F">
      <w:pPr>
        <w:pStyle w:val="Default"/>
        <w:rPr>
          <w:color w:val="auto"/>
          <w:sz w:val="22"/>
          <w:szCs w:val="22"/>
        </w:rPr>
      </w:pPr>
    </w:p>
    <w:p w14:paraId="166E1E18" w14:textId="77777777" w:rsidR="00B0798D" w:rsidRDefault="00B0798D" w:rsidP="00074B2F">
      <w:pPr>
        <w:pStyle w:val="Default"/>
        <w:rPr>
          <w:color w:val="auto"/>
          <w:sz w:val="22"/>
          <w:szCs w:val="22"/>
        </w:rPr>
      </w:pPr>
    </w:p>
    <w:p w14:paraId="74FA4626" w14:textId="74940851" w:rsidR="00074B2F" w:rsidRPr="004E29C8" w:rsidRDefault="00725004" w:rsidP="004E29C8">
      <w:pPr>
        <w:pStyle w:val="Heading2"/>
        <w:pBdr>
          <w:top w:val="single" w:sz="4" w:space="1" w:color="auto"/>
          <w:left w:val="single" w:sz="4" w:space="4" w:color="auto"/>
          <w:bottom w:val="single" w:sz="4" w:space="1" w:color="auto"/>
          <w:right w:val="single" w:sz="4" w:space="4" w:color="auto"/>
        </w:pBdr>
        <w:shd w:val="clear" w:color="auto" w:fill="E1F2F2" w:themeFill="accent5" w:themeFillTint="33"/>
        <w:spacing w:before="0"/>
        <w:rPr>
          <w:b w:val="0"/>
          <w:bCs w:val="0"/>
          <w:sz w:val="21"/>
          <w:szCs w:val="21"/>
        </w:rPr>
      </w:pPr>
      <w:r w:rsidRPr="004E29C8">
        <w:rPr>
          <w:color w:val="auto"/>
          <w:sz w:val="21"/>
          <w:szCs w:val="21"/>
        </w:rPr>
        <w:t xml:space="preserve">Note: </w:t>
      </w:r>
      <w:r w:rsidR="00074B2F" w:rsidRPr="004E29C8">
        <w:rPr>
          <w:b w:val="0"/>
          <w:bCs w:val="0"/>
          <w:color w:val="auto"/>
          <w:sz w:val="21"/>
          <w:szCs w:val="21"/>
        </w:rPr>
        <w:t xml:space="preserve">The IP Act does not impose a mandatory obligation to notify the OIC about a privacy breach. However, </w:t>
      </w:r>
      <w:r w:rsidRPr="004E29C8">
        <w:rPr>
          <w:b w:val="0"/>
          <w:bCs w:val="0"/>
          <w:color w:val="auto"/>
          <w:sz w:val="21"/>
          <w:szCs w:val="21"/>
        </w:rPr>
        <w:t>in some circumstances the department may be required to notify the OIC and affected persons about privacy breaches arising from CSP actions.</w:t>
      </w:r>
    </w:p>
    <w:p w14:paraId="277E8758" w14:textId="77777777" w:rsidR="00B0798D" w:rsidRDefault="00B0798D" w:rsidP="00074B2F">
      <w:pPr>
        <w:pStyle w:val="Default"/>
        <w:spacing w:after="60"/>
        <w:rPr>
          <w:b/>
          <w:bCs/>
          <w:color w:val="006666"/>
          <w:sz w:val="28"/>
          <w:szCs w:val="28"/>
        </w:rPr>
      </w:pPr>
    </w:p>
    <w:p w14:paraId="406210B9" w14:textId="19853CE9" w:rsidR="00074B2F" w:rsidRPr="004E29C8" w:rsidRDefault="004E29C8" w:rsidP="00074B2F">
      <w:pPr>
        <w:pStyle w:val="Default"/>
        <w:spacing w:after="60"/>
        <w:rPr>
          <w:b/>
          <w:bCs/>
          <w:color w:val="006666"/>
          <w:sz w:val="22"/>
          <w:szCs w:val="22"/>
        </w:rPr>
      </w:pPr>
      <w:r w:rsidRPr="004E29C8">
        <w:rPr>
          <w:b/>
          <w:bCs/>
          <w:color w:val="006666"/>
          <w:sz w:val="28"/>
          <w:szCs w:val="28"/>
        </w:rPr>
        <w:lastRenderedPageBreak/>
        <w:t>Privacy c</w:t>
      </w:r>
      <w:r w:rsidR="00074B2F" w:rsidRPr="004E29C8">
        <w:rPr>
          <w:b/>
          <w:bCs/>
          <w:color w:val="006666"/>
          <w:sz w:val="28"/>
          <w:szCs w:val="28"/>
        </w:rPr>
        <w:t>omplaints</w:t>
      </w:r>
      <w:r w:rsidR="00074B2F" w:rsidRPr="004E29C8">
        <w:rPr>
          <w:b/>
          <w:bCs/>
          <w:color w:val="006666"/>
          <w:sz w:val="22"/>
          <w:szCs w:val="22"/>
        </w:rPr>
        <w:t xml:space="preserve"> </w:t>
      </w:r>
    </w:p>
    <w:p w14:paraId="0D2858DC" w14:textId="77777777" w:rsidR="00074B2F" w:rsidRPr="0049698E" w:rsidRDefault="00074B2F" w:rsidP="00074B2F">
      <w:pPr>
        <w:pStyle w:val="Default"/>
        <w:rPr>
          <w:sz w:val="22"/>
          <w:szCs w:val="22"/>
        </w:rPr>
      </w:pPr>
      <w:r w:rsidRPr="0049698E">
        <w:rPr>
          <w:sz w:val="22"/>
          <w:szCs w:val="22"/>
        </w:rPr>
        <w:t>If a person alleges that a bound CSP has breached an IPP or section 33 in relation to their personal information, it is the CSP’s responsibility to deal with the complaint.</w:t>
      </w:r>
    </w:p>
    <w:p w14:paraId="5FE5A69E" w14:textId="77777777" w:rsidR="00074B2F" w:rsidRPr="0049698E" w:rsidRDefault="00074B2F" w:rsidP="00074B2F">
      <w:pPr>
        <w:pStyle w:val="Default"/>
        <w:rPr>
          <w:sz w:val="22"/>
          <w:szCs w:val="22"/>
        </w:rPr>
      </w:pPr>
    </w:p>
    <w:p w14:paraId="0835EC2B" w14:textId="77777777" w:rsidR="00074B2F" w:rsidRPr="004E29C8" w:rsidRDefault="00074B2F" w:rsidP="00687484">
      <w:pPr>
        <w:pStyle w:val="Default"/>
        <w:pBdr>
          <w:top w:val="single" w:sz="4" w:space="1" w:color="auto"/>
          <w:left w:val="single" w:sz="4" w:space="4" w:color="auto"/>
          <w:bottom w:val="single" w:sz="4" w:space="1" w:color="auto"/>
          <w:right w:val="single" w:sz="4" w:space="4" w:color="auto"/>
        </w:pBdr>
        <w:shd w:val="clear" w:color="auto" w:fill="E1F2F2" w:themeFill="accent5" w:themeFillTint="33"/>
        <w:rPr>
          <w:sz w:val="21"/>
          <w:szCs w:val="21"/>
        </w:rPr>
      </w:pPr>
      <w:r w:rsidRPr="004E29C8">
        <w:rPr>
          <w:sz w:val="21"/>
          <w:szCs w:val="21"/>
        </w:rPr>
        <w:t xml:space="preserve">The OIC has published guidance about how to respond to </w:t>
      </w:r>
      <w:hyperlink r:id="rId19" w:history="1">
        <w:r w:rsidRPr="004E29C8">
          <w:rPr>
            <w:rStyle w:val="Hyperlink"/>
            <w:sz w:val="21"/>
            <w:szCs w:val="21"/>
          </w:rPr>
          <w:t>complaints</w:t>
        </w:r>
      </w:hyperlink>
      <w:r w:rsidRPr="004E29C8">
        <w:rPr>
          <w:sz w:val="21"/>
          <w:szCs w:val="21"/>
        </w:rPr>
        <w:t xml:space="preserve">. </w:t>
      </w:r>
    </w:p>
    <w:p w14:paraId="17B1EF43" w14:textId="77777777" w:rsidR="00074B2F" w:rsidRDefault="00074B2F" w:rsidP="00074B2F">
      <w:pPr>
        <w:pStyle w:val="Default"/>
        <w:rPr>
          <w:color w:val="auto"/>
          <w:sz w:val="22"/>
          <w:szCs w:val="22"/>
        </w:rPr>
      </w:pPr>
    </w:p>
    <w:p w14:paraId="20349550" w14:textId="77777777" w:rsidR="00074B2F" w:rsidRDefault="00074B2F" w:rsidP="00074B2F">
      <w:pPr>
        <w:pStyle w:val="Default"/>
        <w:rPr>
          <w:color w:val="auto"/>
          <w:sz w:val="22"/>
          <w:szCs w:val="22"/>
        </w:rPr>
      </w:pPr>
      <w:r>
        <w:rPr>
          <w:color w:val="auto"/>
          <w:sz w:val="22"/>
          <w:szCs w:val="22"/>
        </w:rPr>
        <w:t xml:space="preserve">If the complainant is not satisfied with the CSP’s response or they do not receive a response within 45 business days, they may refer their complaint to the OIC, who will assess whether the matter can be mediated. </w:t>
      </w:r>
    </w:p>
    <w:p w14:paraId="1C50EBD7" w14:textId="77777777" w:rsidR="00074B2F" w:rsidRDefault="00074B2F" w:rsidP="00074B2F">
      <w:pPr>
        <w:pStyle w:val="Default"/>
        <w:rPr>
          <w:color w:val="auto"/>
          <w:sz w:val="22"/>
          <w:szCs w:val="22"/>
        </w:rPr>
      </w:pPr>
    </w:p>
    <w:p w14:paraId="67745F69" w14:textId="2B326051" w:rsidR="00074B2F" w:rsidRPr="004E29C8" w:rsidRDefault="00074B2F" w:rsidP="00687484">
      <w:pPr>
        <w:pStyle w:val="Default"/>
        <w:pBdr>
          <w:top w:val="single" w:sz="4" w:space="1" w:color="auto"/>
          <w:left w:val="single" w:sz="4" w:space="4" w:color="auto"/>
          <w:bottom w:val="single" w:sz="4" w:space="1" w:color="auto"/>
          <w:right w:val="single" w:sz="4" w:space="4" w:color="auto"/>
        </w:pBdr>
        <w:shd w:val="clear" w:color="auto" w:fill="E1F2F2" w:themeFill="accent5" w:themeFillTint="33"/>
        <w:rPr>
          <w:color w:val="auto"/>
          <w:sz w:val="21"/>
          <w:szCs w:val="21"/>
        </w:rPr>
      </w:pPr>
      <w:r w:rsidRPr="004E29C8">
        <w:rPr>
          <w:color w:val="auto"/>
          <w:sz w:val="21"/>
          <w:szCs w:val="21"/>
        </w:rPr>
        <w:t xml:space="preserve">The OIC has published guidance about steps </w:t>
      </w:r>
      <w:r w:rsidR="00687484" w:rsidRPr="004E29C8">
        <w:rPr>
          <w:color w:val="auto"/>
          <w:sz w:val="21"/>
          <w:szCs w:val="21"/>
        </w:rPr>
        <w:t>it</w:t>
      </w:r>
      <w:r w:rsidRPr="004E29C8">
        <w:rPr>
          <w:color w:val="auto"/>
          <w:sz w:val="21"/>
          <w:szCs w:val="21"/>
        </w:rPr>
        <w:t xml:space="preserve"> takes when a complaint is referred to it </w:t>
      </w:r>
      <w:hyperlink r:id="rId20" w:history="1">
        <w:r w:rsidRPr="004E29C8">
          <w:rPr>
            <w:rStyle w:val="Hyperlink"/>
            <w:sz w:val="21"/>
            <w:szCs w:val="21"/>
          </w:rPr>
          <w:t>What to expect when OIC receives a privacy complaint - A guide for agencies | Office of the Information Commissioner Queensland</w:t>
        </w:r>
      </w:hyperlink>
    </w:p>
    <w:p w14:paraId="767D23D8" w14:textId="77777777" w:rsidR="00074B2F" w:rsidRDefault="00074B2F" w:rsidP="00074B2F">
      <w:pPr>
        <w:pStyle w:val="Default"/>
        <w:rPr>
          <w:color w:val="auto"/>
          <w:sz w:val="22"/>
          <w:szCs w:val="22"/>
        </w:rPr>
      </w:pPr>
    </w:p>
    <w:p w14:paraId="39D51A78" w14:textId="77777777" w:rsidR="00074B2F" w:rsidRDefault="00074B2F" w:rsidP="00074B2F">
      <w:pPr>
        <w:pStyle w:val="Default"/>
        <w:rPr>
          <w:color w:val="auto"/>
          <w:sz w:val="22"/>
          <w:szCs w:val="22"/>
        </w:rPr>
      </w:pPr>
      <w:r>
        <w:rPr>
          <w:color w:val="auto"/>
          <w:sz w:val="22"/>
          <w:szCs w:val="22"/>
        </w:rPr>
        <w:t>If the complainant is not satisfied with the outcome of that process, they may ask the OIC to refer the matter to the Queensland Civil and Administrative Tribunal (</w:t>
      </w:r>
      <w:r w:rsidRPr="004E29C8">
        <w:rPr>
          <w:b/>
          <w:color w:val="auto"/>
          <w:sz w:val="22"/>
          <w:szCs w:val="22"/>
        </w:rPr>
        <w:t>QCAT</w:t>
      </w:r>
      <w:r>
        <w:rPr>
          <w:color w:val="auto"/>
          <w:sz w:val="22"/>
          <w:szCs w:val="22"/>
        </w:rPr>
        <w:t>) for decision</w:t>
      </w:r>
      <w:r w:rsidRPr="0060401C">
        <w:rPr>
          <w:color w:val="auto"/>
          <w:sz w:val="22"/>
          <w:szCs w:val="22"/>
        </w:rPr>
        <w:t xml:space="preserve">. </w:t>
      </w:r>
      <w:r w:rsidRPr="005A3EE7">
        <w:rPr>
          <w:sz w:val="22"/>
          <w:szCs w:val="22"/>
        </w:rPr>
        <w:t xml:space="preserve">If QCAT finds that the complaint, or a part of </w:t>
      </w:r>
      <w:r>
        <w:rPr>
          <w:sz w:val="22"/>
          <w:szCs w:val="22"/>
        </w:rPr>
        <w:t>i</w:t>
      </w:r>
      <w:r w:rsidRPr="005A3EE7">
        <w:rPr>
          <w:sz w:val="22"/>
          <w:szCs w:val="22"/>
        </w:rPr>
        <w:t xml:space="preserve">t, has been substantiated, it </w:t>
      </w:r>
      <w:r w:rsidRPr="0060401C">
        <w:rPr>
          <w:color w:val="auto"/>
          <w:sz w:val="22"/>
          <w:szCs w:val="22"/>
        </w:rPr>
        <w:t xml:space="preserve">may make a variety of orders, including </w:t>
      </w:r>
      <w:r>
        <w:rPr>
          <w:color w:val="auto"/>
          <w:sz w:val="22"/>
          <w:szCs w:val="22"/>
        </w:rPr>
        <w:t>an order that the CSP pay compensation of an amount up to $100,000 per breach, plus costs.</w:t>
      </w:r>
    </w:p>
    <w:p w14:paraId="3F6530F4" w14:textId="77777777" w:rsidR="00074B2F" w:rsidRDefault="00074B2F" w:rsidP="00074B2F">
      <w:pPr>
        <w:pStyle w:val="Default"/>
        <w:rPr>
          <w:color w:val="auto"/>
          <w:sz w:val="22"/>
          <w:szCs w:val="22"/>
        </w:rPr>
      </w:pPr>
    </w:p>
    <w:p w14:paraId="2813E5CC" w14:textId="77777777" w:rsidR="00074B2F" w:rsidRDefault="00074B2F" w:rsidP="00074B2F">
      <w:pPr>
        <w:pStyle w:val="Default"/>
        <w:rPr>
          <w:color w:val="auto"/>
          <w:sz w:val="22"/>
          <w:szCs w:val="22"/>
        </w:rPr>
      </w:pPr>
      <w:r>
        <w:rPr>
          <w:color w:val="auto"/>
          <w:sz w:val="22"/>
          <w:szCs w:val="22"/>
        </w:rPr>
        <w:t xml:space="preserve">Because a privacy breach or complaint may expose the CSP to liability, we recommend that CSPs seek independent legal advice, as appropriate. </w:t>
      </w:r>
    </w:p>
    <w:p w14:paraId="1E637ED4" w14:textId="77777777" w:rsidR="00074B2F" w:rsidRDefault="00074B2F" w:rsidP="00074B2F">
      <w:pPr>
        <w:pStyle w:val="Default"/>
        <w:spacing w:after="60"/>
        <w:rPr>
          <w:b/>
          <w:bCs/>
          <w:color w:val="auto"/>
          <w:sz w:val="28"/>
          <w:szCs w:val="28"/>
        </w:rPr>
      </w:pPr>
    </w:p>
    <w:p w14:paraId="6A055BF0" w14:textId="0FBA2F59" w:rsidR="00074B2F" w:rsidRPr="004E29C8" w:rsidRDefault="00074B2F" w:rsidP="00074B2F">
      <w:pPr>
        <w:pStyle w:val="Default"/>
        <w:spacing w:after="60"/>
        <w:rPr>
          <w:color w:val="006666"/>
          <w:sz w:val="28"/>
          <w:szCs w:val="28"/>
        </w:rPr>
      </w:pPr>
      <w:r w:rsidRPr="004E29C8">
        <w:rPr>
          <w:b/>
          <w:bCs/>
          <w:color w:val="006666"/>
          <w:sz w:val="28"/>
          <w:szCs w:val="28"/>
        </w:rPr>
        <w:t>The Information Privacy Principles (IPPs)</w:t>
      </w:r>
    </w:p>
    <w:p w14:paraId="6AA4E69E" w14:textId="77777777" w:rsidR="00074B2F" w:rsidRDefault="00074B2F" w:rsidP="00074B2F">
      <w:pPr>
        <w:pStyle w:val="Default"/>
        <w:rPr>
          <w:color w:val="auto"/>
          <w:sz w:val="22"/>
          <w:szCs w:val="22"/>
        </w:rPr>
      </w:pPr>
      <w:r>
        <w:rPr>
          <w:color w:val="auto"/>
          <w:sz w:val="22"/>
          <w:szCs w:val="22"/>
        </w:rPr>
        <w:t xml:space="preserve">The IPPs set out how personal information is to be collected, handled, used and disclosed. </w:t>
      </w:r>
    </w:p>
    <w:p w14:paraId="533032D5" w14:textId="77777777" w:rsidR="00074B2F" w:rsidRDefault="00074B2F" w:rsidP="00074B2F">
      <w:pPr>
        <w:pStyle w:val="Default"/>
        <w:rPr>
          <w:color w:val="auto"/>
          <w:sz w:val="22"/>
          <w:szCs w:val="22"/>
        </w:rPr>
      </w:pPr>
      <w:r>
        <w:rPr>
          <w:color w:val="auto"/>
          <w:sz w:val="22"/>
          <w:szCs w:val="22"/>
        </w:rPr>
        <w:t>Refer to the IP Act for the full requirements but below is a summary of the 11 IPPs.</w:t>
      </w:r>
    </w:p>
    <w:p w14:paraId="7B1B03BF" w14:textId="77777777" w:rsidR="00074B2F" w:rsidRPr="003913E2" w:rsidRDefault="00074B2F" w:rsidP="00074B2F">
      <w:pPr>
        <w:pStyle w:val="Default"/>
        <w:rPr>
          <w:bCs/>
          <w:color w:val="auto"/>
          <w:sz w:val="22"/>
          <w:szCs w:val="22"/>
        </w:rPr>
      </w:pPr>
    </w:p>
    <w:p w14:paraId="566BA594" w14:textId="53D624E6" w:rsidR="00074B2F" w:rsidRDefault="00074B2F" w:rsidP="004E29C8">
      <w:pPr>
        <w:pStyle w:val="Default"/>
        <w:spacing w:after="120"/>
        <w:rPr>
          <w:color w:val="auto"/>
          <w:sz w:val="22"/>
          <w:szCs w:val="22"/>
        </w:rPr>
      </w:pPr>
      <w:r>
        <w:rPr>
          <w:b/>
          <w:bCs/>
          <w:color w:val="auto"/>
          <w:sz w:val="22"/>
          <w:szCs w:val="22"/>
        </w:rPr>
        <w:t xml:space="preserve">IPP1 </w:t>
      </w:r>
      <w:r>
        <w:rPr>
          <w:color w:val="auto"/>
          <w:sz w:val="22"/>
          <w:szCs w:val="22"/>
        </w:rPr>
        <w:t>– Collection of personal information must be lawful, fair, and necessary for your organisation’s functions.</w:t>
      </w:r>
    </w:p>
    <w:p w14:paraId="1B6D7F41" w14:textId="77777777" w:rsidR="00074B2F" w:rsidRPr="00DA33F6" w:rsidRDefault="00074B2F" w:rsidP="00687484">
      <w:pPr>
        <w:pStyle w:val="Default"/>
        <w:pBdr>
          <w:top w:val="single" w:sz="4" w:space="1" w:color="auto"/>
          <w:left w:val="single" w:sz="4" w:space="4" w:color="auto"/>
          <w:bottom w:val="single" w:sz="4" w:space="1" w:color="auto"/>
          <w:right w:val="single" w:sz="4" w:space="4" w:color="auto"/>
        </w:pBdr>
        <w:shd w:val="clear" w:color="auto" w:fill="E1F2F2" w:themeFill="accent5" w:themeFillTint="33"/>
        <w:rPr>
          <w:color w:val="auto"/>
          <w:sz w:val="21"/>
          <w:szCs w:val="21"/>
        </w:rPr>
      </w:pPr>
      <w:r w:rsidRPr="00DA33F6">
        <w:rPr>
          <w:color w:val="auto"/>
          <w:sz w:val="21"/>
          <w:szCs w:val="21"/>
        </w:rPr>
        <w:t xml:space="preserve">It is important to analyse what information you require to perform your functions. It does not include information that would be ‘nice to know’ or might be useful in future. </w:t>
      </w:r>
    </w:p>
    <w:p w14:paraId="6A81E7F4" w14:textId="02662DE4" w:rsidR="00074B2F" w:rsidRDefault="00074B2F" w:rsidP="004E29C8">
      <w:pPr>
        <w:pStyle w:val="Default"/>
        <w:spacing w:after="120"/>
        <w:rPr>
          <w:color w:val="auto"/>
          <w:sz w:val="22"/>
          <w:szCs w:val="22"/>
        </w:rPr>
      </w:pPr>
      <w:r>
        <w:rPr>
          <w:b/>
          <w:bCs/>
          <w:color w:val="auto"/>
          <w:sz w:val="22"/>
          <w:szCs w:val="22"/>
        </w:rPr>
        <w:t xml:space="preserve">IPP2 </w:t>
      </w:r>
      <w:r>
        <w:rPr>
          <w:color w:val="auto"/>
          <w:sz w:val="22"/>
          <w:szCs w:val="22"/>
        </w:rPr>
        <w:t>– Where you ask an individual to provide personal information, you must take all reasonable steps to advise them of the purpose of the collection, any laws which give you authority to collect the information, and to whom you usually give the information.</w:t>
      </w:r>
    </w:p>
    <w:p w14:paraId="3457CA56" w14:textId="77777777" w:rsidR="00074B2F" w:rsidRPr="00DA33F6" w:rsidRDefault="00074B2F" w:rsidP="00687484">
      <w:pPr>
        <w:pStyle w:val="Default"/>
        <w:pBdr>
          <w:top w:val="single" w:sz="4" w:space="1" w:color="auto"/>
          <w:left w:val="single" w:sz="4" w:space="4" w:color="auto"/>
          <w:bottom w:val="single" w:sz="4" w:space="1" w:color="auto"/>
          <w:right w:val="single" w:sz="4" w:space="4" w:color="auto"/>
        </w:pBdr>
        <w:shd w:val="clear" w:color="auto" w:fill="E1F2F2" w:themeFill="accent5" w:themeFillTint="33"/>
        <w:rPr>
          <w:color w:val="auto"/>
          <w:sz w:val="21"/>
          <w:szCs w:val="21"/>
        </w:rPr>
      </w:pPr>
      <w:r w:rsidRPr="00DA33F6">
        <w:rPr>
          <w:color w:val="auto"/>
          <w:sz w:val="21"/>
          <w:szCs w:val="21"/>
        </w:rPr>
        <w:t>An IPP2 notice may be given orally or in writing. If the collection is in writing, a written notice is usually more appropriate.</w:t>
      </w:r>
    </w:p>
    <w:p w14:paraId="26FA19FD" w14:textId="77777777" w:rsidR="00074B2F" w:rsidRDefault="00074B2F" w:rsidP="00074B2F">
      <w:pPr>
        <w:pStyle w:val="Default"/>
        <w:rPr>
          <w:color w:val="auto"/>
          <w:sz w:val="22"/>
          <w:szCs w:val="22"/>
        </w:rPr>
      </w:pPr>
    </w:p>
    <w:p w14:paraId="63C3C318" w14:textId="77777777" w:rsidR="00074B2F" w:rsidRDefault="00074B2F" w:rsidP="00074B2F">
      <w:pPr>
        <w:pStyle w:val="Default"/>
        <w:rPr>
          <w:color w:val="auto"/>
          <w:sz w:val="22"/>
          <w:szCs w:val="22"/>
        </w:rPr>
      </w:pPr>
      <w:r>
        <w:rPr>
          <w:b/>
          <w:bCs/>
          <w:color w:val="auto"/>
          <w:sz w:val="22"/>
          <w:szCs w:val="22"/>
        </w:rPr>
        <w:t xml:space="preserve">IPP3 </w:t>
      </w:r>
      <w:r>
        <w:rPr>
          <w:color w:val="auto"/>
          <w:sz w:val="22"/>
          <w:szCs w:val="22"/>
        </w:rPr>
        <w:t>– Personal information you collect must be relevant, up-to-date, and complete. The collection must not be an unreasonable intrusion into the personal affairs of the individual.</w:t>
      </w:r>
    </w:p>
    <w:p w14:paraId="682054CB" w14:textId="77777777" w:rsidR="00074B2F" w:rsidRDefault="00074B2F" w:rsidP="00074B2F">
      <w:pPr>
        <w:pStyle w:val="Default"/>
        <w:rPr>
          <w:color w:val="auto"/>
          <w:sz w:val="22"/>
          <w:szCs w:val="22"/>
        </w:rPr>
      </w:pPr>
    </w:p>
    <w:p w14:paraId="3B61F139" w14:textId="24FB32BC" w:rsidR="00074B2F" w:rsidRDefault="00074B2F" w:rsidP="004E29C8">
      <w:pPr>
        <w:pStyle w:val="Default"/>
        <w:spacing w:after="120"/>
        <w:rPr>
          <w:color w:val="auto"/>
          <w:sz w:val="22"/>
          <w:szCs w:val="22"/>
        </w:rPr>
      </w:pPr>
      <w:r>
        <w:rPr>
          <w:b/>
          <w:bCs/>
          <w:color w:val="auto"/>
          <w:sz w:val="22"/>
          <w:szCs w:val="22"/>
        </w:rPr>
        <w:t xml:space="preserve">IPP4 </w:t>
      </w:r>
      <w:r>
        <w:rPr>
          <w:color w:val="auto"/>
          <w:sz w:val="22"/>
          <w:szCs w:val="22"/>
        </w:rPr>
        <w:t xml:space="preserve">– You must ensure personal information is protected against loss, unauthorised access, or other misuse. The safeguards must be </w:t>
      </w:r>
      <w:r>
        <w:rPr>
          <w:i/>
          <w:iCs/>
          <w:color w:val="auto"/>
          <w:sz w:val="22"/>
          <w:szCs w:val="22"/>
        </w:rPr>
        <w:t>‘adequate to provide the level of protections that can reasonably be expected to be provided’</w:t>
      </w:r>
      <w:r>
        <w:rPr>
          <w:color w:val="auto"/>
          <w:sz w:val="22"/>
          <w:szCs w:val="22"/>
        </w:rPr>
        <w:t>.</w:t>
      </w:r>
    </w:p>
    <w:p w14:paraId="5BDA61CF" w14:textId="77777777" w:rsidR="00074B2F" w:rsidRPr="00DA33F6" w:rsidRDefault="00074B2F" w:rsidP="00687484">
      <w:pPr>
        <w:pStyle w:val="Default"/>
        <w:pBdr>
          <w:top w:val="single" w:sz="4" w:space="1" w:color="auto"/>
          <w:left w:val="single" w:sz="4" w:space="4" w:color="auto"/>
          <w:bottom w:val="single" w:sz="4" w:space="1" w:color="auto"/>
          <w:right w:val="single" w:sz="4" w:space="4" w:color="auto"/>
        </w:pBdr>
        <w:shd w:val="clear" w:color="auto" w:fill="E1F2F2" w:themeFill="accent5" w:themeFillTint="33"/>
        <w:rPr>
          <w:color w:val="auto"/>
          <w:sz w:val="21"/>
          <w:szCs w:val="21"/>
        </w:rPr>
      </w:pPr>
      <w:r w:rsidRPr="00DA33F6">
        <w:rPr>
          <w:color w:val="auto"/>
          <w:sz w:val="21"/>
          <w:szCs w:val="21"/>
        </w:rPr>
        <w:t xml:space="preserve">Consider whether your agency has appropriate policies and procedures for </w:t>
      </w:r>
      <w:r w:rsidRPr="00DA33F6">
        <w:rPr>
          <w:b/>
          <w:bCs/>
          <w:color w:val="auto"/>
          <w:sz w:val="21"/>
          <w:szCs w:val="21"/>
        </w:rPr>
        <w:t>physical security</w:t>
      </w:r>
      <w:r w:rsidRPr="00DA33F6">
        <w:rPr>
          <w:color w:val="auto"/>
          <w:sz w:val="21"/>
          <w:szCs w:val="21"/>
        </w:rPr>
        <w:t xml:space="preserve">, including </w:t>
      </w:r>
      <w:r w:rsidRPr="00DA33F6">
        <w:rPr>
          <w:rFonts w:ascii="Courier New" w:hAnsi="Courier New" w:cs="Courier New"/>
          <w:color w:val="auto"/>
          <w:sz w:val="21"/>
          <w:szCs w:val="21"/>
        </w:rPr>
        <w:t>–</w:t>
      </w:r>
    </w:p>
    <w:p w14:paraId="63E716CB" w14:textId="77777777" w:rsidR="00074B2F" w:rsidRPr="00DA33F6" w:rsidRDefault="00074B2F" w:rsidP="00687484">
      <w:pPr>
        <w:numPr>
          <w:ilvl w:val="0"/>
          <w:numId w:val="28"/>
        </w:numPr>
        <w:pBdr>
          <w:top w:val="single" w:sz="4" w:space="1" w:color="auto"/>
          <w:left w:val="single" w:sz="4" w:space="4" w:color="auto"/>
          <w:bottom w:val="single" w:sz="4" w:space="1" w:color="auto"/>
          <w:right w:val="single" w:sz="4" w:space="4" w:color="auto"/>
        </w:pBdr>
        <w:shd w:val="clear" w:color="auto" w:fill="E1F2F2" w:themeFill="accent5" w:themeFillTint="33"/>
        <w:spacing w:after="0"/>
        <w:ind w:left="284" w:hanging="284"/>
        <w:rPr>
          <w:sz w:val="21"/>
          <w:szCs w:val="21"/>
        </w:rPr>
      </w:pPr>
      <w:r w:rsidRPr="00DA33F6">
        <w:rPr>
          <w:sz w:val="21"/>
          <w:szCs w:val="21"/>
        </w:rPr>
        <w:t xml:space="preserve">secure work areas </w:t>
      </w:r>
    </w:p>
    <w:p w14:paraId="3362465C" w14:textId="77777777" w:rsidR="00074B2F" w:rsidRPr="00DA33F6" w:rsidRDefault="00074B2F" w:rsidP="00687484">
      <w:pPr>
        <w:numPr>
          <w:ilvl w:val="0"/>
          <w:numId w:val="28"/>
        </w:numPr>
        <w:pBdr>
          <w:top w:val="single" w:sz="4" w:space="1" w:color="auto"/>
          <w:left w:val="single" w:sz="4" w:space="4" w:color="auto"/>
          <w:bottom w:val="single" w:sz="4" w:space="1" w:color="auto"/>
          <w:right w:val="single" w:sz="4" w:space="4" w:color="auto"/>
        </w:pBdr>
        <w:shd w:val="clear" w:color="auto" w:fill="E1F2F2" w:themeFill="accent5" w:themeFillTint="33"/>
        <w:spacing w:after="0"/>
        <w:ind w:left="284" w:hanging="284"/>
        <w:rPr>
          <w:sz w:val="21"/>
          <w:szCs w:val="21"/>
        </w:rPr>
      </w:pPr>
      <w:r w:rsidRPr="00DA33F6">
        <w:rPr>
          <w:sz w:val="21"/>
          <w:szCs w:val="21"/>
        </w:rPr>
        <w:t xml:space="preserve">space for conducting interviews in private </w:t>
      </w:r>
    </w:p>
    <w:p w14:paraId="5C31FE61" w14:textId="77777777" w:rsidR="00074B2F" w:rsidRPr="00DA33F6" w:rsidRDefault="00074B2F" w:rsidP="00687484">
      <w:pPr>
        <w:numPr>
          <w:ilvl w:val="0"/>
          <w:numId w:val="28"/>
        </w:numPr>
        <w:pBdr>
          <w:top w:val="single" w:sz="4" w:space="1" w:color="auto"/>
          <w:left w:val="single" w:sz="4" w:space="4" w:color="auto"/>
          <w:bottom w:val="single" w:sz="4" w:space="1" w:color="auto"/>
          <w:right w:val="single" w:sz="4" w:space="4" w:color="auto"/>
        </w:pBdr>
        <w:shd w:val="clear" w:color="auto" w:fill="E1F2F2" w:themeFill="accent5" w:themeFillTint="33"/>
        <w:spacing w:after="0"/>
        <w:ind w:left="284" w:hanging="284"/>
        <w:rPr>
          <w:sz w:val="21"/>
          <w:szCs w:val="21"/>
        </w:rPr>
      </w:pPr>
      <w:r w:rsidRPr="00DA33F6">
        <w:rPr>
          <w:sz w:val="21"/>
          <w:szCs w:val="21"/>
        </w:rPr>
        <w:t>management of hard copy files (e.g. secure storage, clean desk policy)</w:t>
      </w:r>
    </w:p>
    <w:p w14:paraId="04F8A99B" w14:textId="77777777" w:rsidR="00074B2F" w:rsidRPr="00DA33F6" w:rsidRDefault="00074B2F" w:rsidP="00687484">
      <w:pPr>
        <w:numPr>
          <w:ilvl w:val="0"/>
          <w:numId w:val="28"/>
        </w:numPr>
        <w:pBdr>
          <w:top w:val="single" w:sz="4" w:space="1" w:color="auto"/>
          <w:left w:val="single" w:sz="4" w:space="4" w:color="auto"/>
          <w:bottom w:val="single" w:sz="4" w:space="1" w:color="auto"/>
          <w:right w:val="single" w:sz="4" w:space="4" w:color="auto"/>
        </w:pBdr>
        <w:shd w:val="clear" w:color="auto" w:fill="E1F2F2" w:themeFill="accent5" w:themeFillTint="33"/>
        <w:spacing w:after="0"/>
        <w:ind w:left="284" w:hanging="284"/>
        <w:rPr>
          <w:sz w:val="21"/>
          <w:szCs w:val="21"/>
        </w:rPr>
      </w:pPr>
      <w:r w:rsidRPr="00DA33F6">
        <w:rPr>
          <w:sz w:val="21"/>
          <w:szCs w:val="21"/>
        </w:rPr>
        <w:t>removing work information/devices, from the office and protecting them from loss or theft</w:t>
      </w:r>
    </w:p>
    <w:p w14:paraId="528F5508" w14:textId="77777777" w:rsidR="00074B2F" w:rsidRPr="00DA33F6" w:rsidRDefault="00074B2F" w:rsidP="00687484">
      <w:pPr>
        <w:numPr>
          <w:ilvl w:val="0"/>
          <w:numId w:val="28"/>
        </w:numPr>
        <w:pBdr>
          <w:top w:val="single" w:sz="4" w:space="1" w:color="auto"/>
          <w:left w:val="single" w:sz="4" w:space="4" w:color="auto"/>
          <w:bottom w:val="single" w:sz="4" w:space="1" w:color="auto"/>
          <w:right w:val="single" w:sz="4" w:space="4" w:color="auto"/>
        </w:pBdr>
        <w:shd w:val="clear" w:color="auto" w:fill="E1F2F2" w:themeFill="accent5" w:themeFillTint="33"/>
        <w:spacing w:after="0"/>
        <w:ind w:left="284" w:hanging="284"/>
        <w:rPr>
          <w:sz w:val="21"/>
          <w:szCs w:val="21"/>
        </w:rPr>
      </w:pPr>
      <w:r w:rsidRPr="00DA33F6">
        <w:rPr>
          <w:sz w:val="21"/>
          <w:szCs w:val="21"/>
        </w:rPr>
        <w:t>guidelines for staff who work remotely.</w:t>
      </w:r>
    </w:p>
    <w:p w14:paraId="5FBDF6CF" w14:textId="77777777" w:rsidR="00074B2F" w:rsidRDefault="00074B2F" w:rsidP="00074B2F">
      <w:pPr>
        <w:spacing w:after="0"/>
      </w:pPr>
    </w:p>
    <w:p w14:paraId="15B25A6A" w14:textId="636C5BB0" w:rsidR="00074B2F" w:rsidRDefault="00074B2F" w:rsidP="004E29C8">
      <w:r>
        <w:t xml:space="preserve">It is also important to consider whether your organisation has appropriate </w:t>
      </w:r>
      <w:r w:rsidRPr="0049698E">
        <w:rPr>
          <w:b/>
          <w:bCs/>
        </w:rPr>
        <w:t>digital security</w:t>
      </w:r>
      <w:r w:rsidR="00DA33F6">
        <w:t>, especially</w:t>
      </w:r>
      <w:r>
        <w:t xml:space="preserve"> if you use cloud-based services. </w:t>
      </w:r>
    </w:p>
    <w:p w14:paraId="0E1F00DE" w14:textId="77777777" w:rsidR="00074B2F" w:rsidRPr="004E29C8" w:rsidRDefault="00074B2F" w:rsidP="00687484">
      <w:pPr>
        <w:pBdr>
          <w:top w:val="single" w:sz="4" w:space="1" w:color="auto"/>
          <w:left w:val="single" w:sz="4" w:space="4" w:color="auto"/>
          <w:bottom w:val="single" w:sz="4" w:space="1" w:color="auto"/>
          <w:right w:val="single" w:sz="4" w:space="4" w:color="auto"/>
        </w:pBdr>
        <w:shd w:val="clear" w:color="auto" w:fill="E1F2F2" w:themeFill="accent5" w:themeFillTint="33"/>
        <w:spacing w:after="0"/>
        <w:rPr>
          <w:sz w:val="21"/>
          <w:szCs w:val="21"/>
        </w:rPr>
      </w:pPr>
      <w:r w:rsidRPr="004E29C8">
        <w:rPr>
          <w:sz w:val="21"/>
          <w:szCs w:val="21"/>
        </w:rPr>
        <w:t xml:space="preserve">Cyber security guidance is available on the Australian Cyber Security Centre website </w:t>
      </w:r>
      <w:hyperlink r:id="rId21" w:history="1">
        <w:r w:rsidRPr="004E29C8">
          <w:rPr>
            <w:rStyle w:val="Hyperlink"/>
            <w:sz w:val="21"/>
            <w:szCs w:val="21"/>
          </w:rPr>
          <w:t>Australian Government Information Security Manual (ISM) | Cyber.gov.au</w:t>
        </w:r>
      </w:hyperlink>
    </w:p>
    <w:p w14:paraId="56710C5B" w14:textId="77777777" w:rsidR="00074B2F" w:rsidRDefault="00074B2F" w:rsidP="00074B2F">
      <w:pPr>
        <w:pStyle w:val="Default"/>
        <w:rPr>
          <w:color w:val="auto"/>
          <w:sz w:val="22"/>
          <w:szCs w:val="22"/>
        </w:rPr>
      </w:pPr>
    </w:p>
    <w:p w14:paraId="49F3D261" w14:textId="59526ACA" w:rsidR="00074B2F" w:rsidRDefault="00074B2F" w:rsidP="004E29C8">
      <w:pPr>
        <w:pStyle w:val="Default"/>
        <w:spacing w:after="120"/>
        <w:rPr>
          <w:color w:val="auto"/>
          <w:sz w:val="22"/>
          <w:szCs w:val="22"/>
        </w:rPr>
      </w:pPr>
      <w:r>
        <w:rPr>
          <w:b/>
          <w:bCs/>
          <w:color w:val="auto"/>
          <w:sz w:val="22"/>
          <w:szCs w:val="22"/>
        </w:rPr>
        <w:t xml:space="preserve">IPP5 </w:t>
      </w:r>
      <w:r>
        <w:rPr>
          <w:color w:val="auto"/>
          <w:sz w:val="22"/>
          <w:szCs w:val="22"/>
        </w:rPr>
        <w:t>– You must ensure individuals can find out what information you hold about them.</w:t>
      </w:r>
    </w:p>
    <w:p w14:paraId="4517AAF9" w14:textId="77777777" w:rsidR="00074B2F" w:rsidRPr="00DA33F6" w:rsidRDefault="00074B2F" w:rsidP="00687484">
      <w:pPr>
        <w:pStyle w:val="Default"/>
        <w:pBdr>
          <w:top w:val="single" w:sz="4" w:space="1" w:color="auto"/>
          <w:left w:val="single" w:sz="4" w:space="4" w:color="auto"/>
          <w:bottom w:val="single" w:sz="4" w:space="1" w:color="auto"/>
          <w:right w:val="single" w:sz="4" w:space="4" w:color="auto"/>
        </w:pBdr>
        <w:shd w:val="clear" w:color="auto" w:fill="E1F2F2" w:themeFill="accent5" w:themeFillTint="33"/>
        <w:rPr>
          <w:color w:val="auto"/>
          <w:sz w:val="21"/>
          <w:szCs w:val="21"/>
        </w:rPr>
      </w:pPr>
      <w:r w:rsidRPr="00DA33F6">
        <w:rPr>
          <w:color w:val="auto"/>
          <w:sz w:val="21"/>
          <w:szCs w:val="21"/>
        </w:rPr>
        <w:t>You can do this by publishing a guide about the type of information your organisation collects and how you use or disclose it.</w:t>
      </w:r>
    </w:p>
    <w:p w14:paraId="3806E674" w14:textId="77777777" w:rsidR="00074B2F" w:rsidRDefault="00074B2F" w:rsidP="00074B2F">
      <w:pPr>
        <w:pStyle w:val="Default"/>
        <w:rPr>
          <w:color w:val="auto"/>
        </w:rPr>
      </w:pPr>
    </w:p>
    <w:p w14:paraId="7BC3BB5E" w14:textId="49D79C0D" w:rsidR="00074B2F" w:rsidRDefault="00074B2F" w:rsidP="004E29C8">
      <w:pPr>
        <w:pStyle w:val="Default"/>
        <w:spacing w:after="120"/>
        <w:rPr>
          <w:color w:val="auto"/>
          <w:sz w:val="20"/>
          <w:szCs w:val="22"/>
        </w:rPr>
      </w:pPr>
      <w:r>
        <w:rPr>
          <w:b/>
          <w:bCs/>
          <w:color w:val="auto"/>
          <w:sz w:val="22"/>
          <w:szCs w:val="22"/>
        </w:rPr>
        <w:t xml:space="preserve">IPP6 </w:t>
      </w:r>
      <w:r>
        <w:rPr>
          <w:color w:val="auto"/>
          <w:sz w:val="22"/>
          <w:szCs w:val="22"/>
        </w:rPr>
        <w:t xml:space="preserve">– You must give individuals access to their personal information unless a law allows you </w:t>
      </w:r>
      <w:r w:rsidRPr="00064ABE">
        <w:rPr>
          <w:color w:val="auto"/>
          <w:sz w:val="22"/>
          <w:szCs w:val="22"/>
        </w:rPr>
        <w:t xml:space="preserve">to </w:t>
      </w:r>
      <w:r w:rsidRPr="0049698E">
        <w:rPr>
          <w:color w:val="auto"/>
          <w:sz w:val="22"/>
          <w:szCs w:val="22"/>
        </w:rPr>
        <w:t>refuse access</w:t>
      </w:r>
      <w:r>
        <w:rPr>
          <w:color w:val="auto"/>
          <w:sz w:val="20"/>
          <w:szCs w:val="22"/>
        </w:rPr>
        <w:t>.</w:t>
      </w:r>
    </w:p>
    <w:p w14:paraId="284EC958" w14:textId="090E167C" w:rsidR="00074B2F" w:rsidRPr="004E29C8" w:rsidRDefault="00074B2F" w:rsidP="00074B2F">
      <w:pPr>
        <w:pStyle w:val="Default"/>
        <w:pBdr>
          <w:top w:val="single" w:sz="4" w:space="1" w:color="auto"/>
          <w:left w:val="single" w:sz="4" w:space="4" w:color="auto"/>
          <w:bottom w:val="single" w:sz="4" w:space="1" w:color="auto"/>
          <w:right w:val="single" w:sz="4" w:space="4" w:color="auto"/>
        </w:pBdr>
        <w:shd w:val="clear" w:color="auto" w:fill="E1F2F2" w:themeFill="accent5" w:themeFillTint="33"/>
        <w:spacing w:after="60"/>
        <w:rPr>
          <w:sz w:val="21"/>
          <w:szCs w:val="21"/>
        </w:rPr>
      </w:pPr>
      <w:r w:rsidRPr="004E29C8">
        <w:rPr>
          <w:color w:val="auto"/>
          <w:sz w:val="21"/>
          <w:szCs w:val="21"/>
        </w:rPr>
        <w:lastRenderedPageBreak/>
        <w:t xml:space="preserve">The </w:t>
      </w:r>
      <w:hyperlink r:id="rId22" w:history="1">
        <w:r w:rsidR="00DA33F6" w:rsidRPr="00DA33F6">
          <w:rPr>
            <w:rStyle w:val="Hyperlink"/>
            <w:i/>
            <w:iCs/>
            <w:sz w:val="21"/>
            <w:szCs w:val="21"/>
          </w:rPr>
          <w:t>Right to Information Act 2009</w:t>
        </w:r>
      </w:hyperlink>
      <w:r w:rsidR="00DA33F6">
        <w:rPr>
          <w:i/>
          <w:iCs/>
          <w:sz w:val="21"/>
          <w:szCs w:val="21"/>
        </w:rPr>
        <w:t xml:space="preserve"> </w:t>
      </w:r>
      <w:r w:rsidRPr="004E29C8">
        <w:rPr>
          <w:color w:val="auto"/>
          <w:sz w:val="21"/>
          <w:szCs w:val="21"/>
        </w:rPr>
        <w:t xml:space="preserve">provides that </w:t>
      </w:r>
      <w:r w:rsidRPr="004E29C8">
        <w:rPr>
          <w:sz w:val="21"/>
          <w:szCs w:val="21"/>
        </w:rPr>
        <w:t>access may be refused to information that is exempt or if disclosure would be contrary to public intere</w:t>
      </w:r>
      <w:r w:rsidR="00DA33F6">
        <w:rPr>
          <w:sz w:val="21"/>
          <w:szCs w:val="21"/>
        </w:rPr>
        <w:t>st</w:t>
      </w:r>
      <w:r w:rsidRPr="004E29C8">
        <w:rPr>
          <w:sz w:val="21"/>
          <w:szCs w:val="21"/>
        </w:rPr>
        <w:t xml:space="preserve">. </w:t>
      </w:r>
    </w:p>
    <w:p w14:paraId="718F0DD5" w14:textId="77777777" w:rsidR="00074B2F" w:rsidRDefault="00074B2F" w:rsidP="00074B2F">
      <w:pPr>
        <w:pStyle w:val="Default"/>
        <w:rPr>
          <w:color w:val="auto"/>
        </w:rPr>
      </w:pPr>
    </w:p>
    <w:p w14:paraId="18128E8E" w14:textId="6F8A824D" w:rsidR="00074B2F" w:rsidRDefault="00074B2F" w:rsidP="00074B2F">
      <w:pPr>
        <w:pStyle w:val="Default"/>
        <w:rPr>
          <w:color w:val="auto"/>
          <w:sz w:val="22"/>
          <w:szCs w:val="22"/>
        </w:rPr>
      </w:pPr>
      <w:r>
        <w:rPr>
          <w:b/>
          <w:bCs/>
          <w:color w:val="auto"/>
          <w:sz w:val="22"/>
          <w:szCs w:val="22"/>
        </w:rPr>
        <w:t xml:space="preserve">IPP7 </w:t>
      </w:r>
      <w:r>
        <w:rPr>
          <w:color w:val="auto"/>
          <w:sz w:val="22"/>
          <w:szCs w:val="22"/>
        </w:rPr>
        <w:t>– An individual has the right to require correction or amendment of their personal information if it is inaccurate, irrelevant, incomplete, out of date or misleading.</w:t>
      </w:r>
    </w:p>
    <w:p w14:paraId="1AF39FE6" w14:textId="77777777" w:rsidR="00074B2F" w:rsidRDefault="00074B2F" w:rsidP="00074B2F">
      <w:pPr>
        <w:pStyle w:val="Default"/>
        <w:rPr>
          <w:color w:val="auto"/>
        </w:rPr>
      </w:pPr>
    </w:p>
    <w:p w14:paraId="0F4A0AE2" w14:textId="2FB5AD2C" w:rsidR="00074B2F" w:rsidRDefault="00074B2F" w:rsidP="004E29C8">
      <w:pPr>
        <w:pStyle w:val="Default"/>
        <w:spacing w:after="120"/>
        <w:rPr>
          <w:color w:val="auto"/>
          <w:sz w:val="22"/>
          <w:szCs w:val="22"/>
        </w:rPr>
      </w:pPr>
      <w:r>
        <w:rPr>
          <w:b/>
          <w:bCs/>
          <w:color w:val="auto"/>
          <w:sz w:val="22"/>
          <w:szCs w:val="22"/>
        </w:rPr>
        <w:t xml:space="preserve">IPP8 </w:t>
      </w:r>
      <w:r>
        <w:rPr>
          <w:color w:val="auto"/>
          <w:sz w:val="22"/>
          <w:szCs w:val="22"/>
        </w:rPr>
        <w:t>– Before using personal information, you must take reasonable steps to ensure it is accurate, complete, and up to date.</w:t>
      </w:r>
    </w:p>
    <w:p w14:paraId="03799910" w14:textId="12F52DF1" w:rsidR="00074B2F" w:rsidRPr="004E29C8" w:rsidRDefault="00074B2F" w:rsidP="00074B2F">
      <w:pPr>
        <w:pStyle w:val="Default"/>
        <w:pBdr>
          <w:top w:val="single" w:sz="4" w:space="1" w:color="auto"/>
          <w:left w:val="single" w:sz="4" w:space="4" w:color="auto"/>
          <w:bottom w:val="single" w:sz="4" w:space="1" w:color="auto"/>
          <w:right w:val="single" w:sz="4" w:space="4" w:color="auto"/>
        </w:pBdr>
        <w:shd w:val="clear" w:color="auto" w:fill="E1F2F2" w:themeFill="accent5" w:themeFillTint="33"/>
        <w:rPr>
          <w:color w:val="auto"/>
          <w:sz w:val="21"/>
          <w:szCs w:val="21"/>
        </w:rPr>
      </w:pPr>
      <w:r w:rsidRPr="004E29C8">
        <w:rPr>
          <w:sz w:val="21"/>
          <w:szCs w:val="21"/>
        </w:rPr>
        <w:t xml:space="preserve">Section 23 of the IP Act defines ‘use’ and ‘disclosure’ for </w:t>
      </w:r>
      <w:r w:rsidR="00DA33F6">
        <w:rPr>
          <w:sz w:val="21"/>
          <w:szCs w:val="21"/>
        </w:rPr>
        <w:t xml:space="preserve">the </w:t>
      </w:r>
      <w:r w:rsidRPr="004E29C8">
        <w:rPr>
          <w:sz w:val="21"/>
          <w:szCs w:val="21"/>
        </w:rPr>
        <w:t xml:space="preserve">purposes of IPPs </w:t>
      </w:r>
      <w:r w:rsidR="00DA33F6">
        <w:rPr>
          <w:sz w:val="21"/>
          <w:szCs w:val="21"/>
        </w:rPr>
        <w:t>8-</w:t>
      </w:r>
      <w:r w:rsidRPr="004E29C8">
        <w:rPr>
          <w:sz w:val="21"/>
          <w:szCs w:val="21"/>
        </w:rPr>
        <w:t>11.</w:t>
      </w:r>
    </w:p>
    <w:p w14:paraId="6AF1BFD2" w14:textId="77777777" w:rsidR="00074B2F" w:rsidRDefault="00074B2F" w:rsidP="00074B2F">
      <w:pPr>
        <w:pStyle w:val="Default"/>
        <w:rPr>
          <w:color w:val="auto"/>
          <w:sz w:val="22"/>
          <w:szCs w:val="22"/>
        </w:rPr>
      </w:pPr>
    </w:p>
    <w:p w14:paraId="5758C04B" w14:textId="67C14BB8" w:rsidR="00074B2F" w:rsidRDefault="00074B2F" w:rsidP="00074B2F">
      <w:pPr>
        <w:pStyle w:val="Default"/>
        <w:rPr>
          <w:color w:val="auto"/>
          <w:sz w:val="22"/>
          <w:szCs w:val="22"/>
        </w:rPr>
      </w:pPr>
      <w:r>
        <w:rPr>
          <w:b/>
          <w:bCs/>
          <w:color w:val="auto"/>
          <w:sz w:val="22"/>
          <w:szCs w:val="22"/>
        </w:rPr>
        <w:t xml:space="preserve">IPP9 </w:t>
      </w:r>
      <w:r>
        <w:rPr>
          <w:color w:val="auto"/>
          <w:sz w:val="22"/>
          <w:szCs w:val="22"/>
        </w:rPr>
        <w:t>– You must only use personal information that is directly relevant to the purpose for which it was collected.</w:t>
      </w:r>
    </w:p>
    <w:p w14:paraId="02D5D165" w14:textId="77777777" w:rsidR="00074B2F" w:rsidRDefault="00074B2F" w:rsidP="00074B2F">
      <w:pPr>
        <w:pStyle w:val="Default"/>
        <w:rPr>
          <w:color w:val="auto"/>
          <w:sz w:val="22"/>
          <w:szCs w:val="22"/>
        </w:rPr>
      </w:pPr>
    </w:p>
    <w:p w14:paraId="5FCEC27E" w14:textId="77777777" w:rsidR="00074B2F" w:rsidRDefault="00074B2F" w:rsidP="00074B2F">
      <w:pPr>
        <w:pStyle w:val="Default"/>
        <w:rPr>
          <w:color w:val="auto"/>
          <w:sz w:val="22"/>
          <w:szCs w:val="22"/>
        </w:rPr>
      </w:pPr>
      <w:r>
        <w:rPr>
          <w:b/>
          <w:bCs/>
          <w:color w:val="auto"/>
          <w:sz w:val="22"/>
          <w:szCs w:val="22"/>
        </w:rPr>
        <w:t xml:space="preserve">IPP10 </w:t>
      </w:r>
      <w:r>
        <w:rPr>
          <w:color w:val="auto"/>
          <w:sz w:val="22"/>
          <w:szCs w:val="22"/>
        </w:rPr>
        <w:t>– You may only use personal information for its original intended purpose, unless one of the listed exceptions applies.</w:t>
      </w:r>
    </w:p>
    <w:p w14:paraId="74ED0960" w14:textId="77777777" w:rsidR="00074B2F" w:rsidRDefault="00074B2F" w:rsidP="00074B2F">
      <w:pPr>
        <w:pStyle w:val="Heading2"/>
        <w:rPr>
          <w:b w:val="0"/>
          <w:bCs w:val="0"/>
          <w:color w:val="auto"/>
          <w:sz w:val="22"/>
          <w:szCs w:val="22"/>
        </w:rPr>
      </w:pPr>
      <w:r>
        <w:rPr>
          <w:color w:val="auto"/>
          <w:sz w:val="22"/>
          <w:szCs w:val="22"/>
        </w:rPr>
        <w:t xml:space="preserve">IPP11 </w:t>
      </w:r>
      <w:r w:rsidRPr="00074B2F">
        <w:rPr>
          <w:b w:val="0"/>
          <w:bCs w:val="0"/>
          <w:color w:val="auto"/>
          <w:sz w:val="22"/>
          <w:szCs w:val="22"/>
        </w:rPr>
        <w:t>– You may only disclose</w:t>
      </w:r>
      <w:r w:rsidRPr="00074B2F">
        <w:rPr>
          <w:b w:val="0"/>
          <w:bCs w:val="0"/>
          <w:color w:val="auto"/>
          <w:sz w:val="14"/>
          <w:szCs w:val="14"/>
        </w:rPr>
        <w:t xml:space="preserve"> </w:t>
      </w:r>
      <w:r w:rsidRPr="00074B2F">
        <w:rPr>
          <w:b w:val="0"/>
          <w:bCs w:val="0"/>
          <w:color w:val="auto"/>
          <w:sz w:val="22"/>
          <w:szCs w:val="22"/>
        </w:rPr>
        <w:t>personal information to the person it relates to unless one of the listed exceptions applies.</w:t>
      </w:r>
    </w:p>
    <w:p w14:paraId="08ECBC0F" w14:textId="2A2ECE71" w:rsidR="00FF2C85" w:rsidRPr="00FF2C85" w:rsidRDefault="00FF2C85" w:rsidP="00FF2C85">
      <w:pPr>
        <w:pBdr>
          <w:top w:val="single" w:sz="4" w:space="1" w:color="auto"/>
          <w:left w:val="single" w:sz="4" w:space="4" w:color="auto"/>
          <w:bottom w:val="single" w:sz="4" w:space="1" w:color="auto"/>
          <w:right w:val="single" w:sz="4" w:space="4" w:color="auto"/>
        </w:pBdr>
        <w:shd w:val="clear" w:color="auto" w:fill="E1F2F2" w:themeFill="accent5" w:themeFillTint="33"/>
        <w:rPr>
          <w:sz w:val="20"/>
          <w:szCs w:val="20"/>
        </w:rPr>
      </w:pPr>
      <w:r w:rsidRPr="00FF2C85">
        <w:rPr>
          <w:b/>
          <w:bCs/>
          <w:sz w:val="20"/>
          <w:szCs w:val="20"/>
        </w:rPr>
        <w:t xml:space="preserve">Note: </w:t>
      </w:r>
      <w:r w:rsidRPr="00FF2C85">
        <w:rPr>
          <w:sz w:val="20"/>
          <w:szCs w:val="20"/>
        </w:rPr>
        <w:t>This guide does not constitute legal advice and is general in nature only. Additional factors may be relevant in specific circumstances. For detailed guidance, legal advice should be sought.</w:t>
      </w:r>
    </w:p>
    <w:p w14:paraId="722C7945" w14:textId="77777777" w:rsidR="00FF2C85" w:rsidRPr="00FF2C85" w:rsidRDefault="00FF2C85" w:rsidP="00FF2C85"/>
    <w:sectPr w:rsidR="00FF2C85" w:rsidRPr="00FF2C85" w:rsidSect="004E29C8">
      <w:headerReference w:type="default" r:id="rId23"/>
      <w:footerReference w:type="default" r:id="rId24"/>
      <w:type w:val="continuous"/>
      <w:pgSz w:w="11906" w:h="16838" w:code="9"/>
      <w:pgMar w:top="1985" w:right="1134" w:bottom="1418"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A8E9" w14:textId="77777777" w:rsidR="001431C6" w:rsidRDefault="001431C6">
      <w:r>
        <w:separator/>
      </w:r>
    </w:p>
  </w:endnote>
  <w:endnote w:type="continuationSeparator" w:id="0">
    <w:p w14:paraId="00A16CD4" w14:textId="77777777" w:rsidR="001431C6" w:rsidRDefault="0014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31BB34B" w:rsidR="009E2F0E" w:rsidRDefault="00986105" w:rsidP="009E2F0E">
    <w:pPr>
      <w:pStyle w:val="Footer"/>
    </w:pPr>
    <w:r>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142889271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32610F8C" w:rsidR="00986105" w:rsidRPr="009E2F0E" w:rsidRDefault="00986105" w:rsidP="009263D0">
    <w:pPr>
      <w:pStyle w:val="Footer"/>
      <w:jc w:val="center"/>
    </w:pP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B5ED" w14:textId="77777777" w:rsidR="001431C6" w:rsidRDefault="001431C6">
      <w:r>
        <w:separator/>
      </w:r>
    </w:p>
  </w:footnote>
  <w:footnote w:type="continuationSeparator" w:id="0">
    <w:p w14:paraId="7B67A042" w14:textId="77777777" w:rsidR="001431C6" w:rsidRDefault="001431C6">
      <w:r>
        <w:continuationSeparator/>
      </w:r>
    </w:p>
  </w:footnote>
  <w:footnote w:id="1">
    <w:p w14:paraId="3299F118" w14:textId="11DE48EE" w:rsidR="00234F4B" w:rsidRPr="00234F4B" w:rsidRDefault="00234F4B">
      <w:pPr>
        <w:pStyle w:val="FootnoteText"/>
        <w:rPr>
          <w:sz w:val="18"/>
          <w:szCs w:val="18"/>
        </w:rPr>
      </w:pPr>
      <w:r>
        <w:rPr>
          <w:rStyle w:val="FootnoteReference"/>
        </w:rPr>
        <w:footnoteRef/>
      </w:r>
      <w:r>
        <w:t xml:space="preserve"> </w:t>
      </w:r>
      <w:bookmarkStart w:id="1" w:name="_Hlk193193400"/>
      <w:r w:rsidR="0029417A">
        <w:t>C</w:t>
      </w:r>
      <w:r w:rsidRPr="00234F4B">
        <w:rPr>
          <w:sz w:val="18"/>
          <w:szCs w:val="18"/>
        </w:rPr>
        <w:t>S</w:t>
      </w:r>
      <w:r w:rsidR="0029417A">
        <w:rPr>
          <w:sz w:val="18"/>
          <w:szCs w:val="18"/>
        </w:rPr>
        <w:t>Ps who entered into contracts with Queensland Government after</w:t>
      </w:r>
      <w:r w:rsidRPr="00234F4B">
        <w:rPr>
          <w:sz w:val="18"/>
          <w:szCs w:val="18"/>
        </w:rPr>
        <w:t xml:space="preserve"> 1 July 2025</w:t>
      </w:r>
      <w:r w:rsidR="0029417A">
        <w:rPr>
          <w:sz w:val="18"/>
          <w:szCs w:val="18"/>
        </w:rPr>
        <w:t xml:space="preserve"> (or who varied the terms of their ongoing contracts)</w:t>
      </w:r>
      <w:r w:rsidRPr="00234F4B">
        <w:rPr>
          <w:sz w:val="18"/>
          <w:szCs w:val="18"/>
        </w:rPr>
        <w:t xml:space="preserve"> may have different privacy obligations. </w:t>
      </w:r>
      <w:r>
        <w:rPr>
          <w:sz w:val="18"/>
          <w:szCs w:val="18"/>
        </w:rPr>
        <w:t>If you</w:t>
      </w:r>
      <w:r w:rsidR="0029417A">
        <w:rPr>
          <w:sz w:val="18"/>
          <w:szCs w:val="18"/>
        </w:rPr>
        <w:t>r contract</w:t>
      </w:r>
      <w:r>
        <w:rPr>
          <w:sz w:val="18"/>
          <w:szCs w:val="18"/>
        </w:rPr>
        <w:t xml:space="preserve"> </w:t>
      </w:r>
      <w:r w:rsidR="0029417A">
        <w:rPr>
          <w:sz w:val="18"/>
          <w:szCs w:val="18"/>
        </w:rPr>
        <w:t>binds you to comply with</w:t>
      </w:r>
      <w:r>
        <w:rPr>
          <w:sz w:val="18"/>
          <w:szCs w:val="18"/>
        </w:rPr>
        <w:t xml:space="preserve"> </w:t>
      </w:r>
      <w:r w:rsidR="00CD6E0A">
        <w:rPr>
          <w:sz w:val="18"/>
          <w:szCs w:val="18"/>
        </w:rPr>
        <w:t>parts 1 and 2 and section 41 IP Act</w:t>
      </w:r>
      <w:r>
        <w:rPr>
          <w:sz w:val="18"/>
          <w:szCs w:val="18"/>
        </w:rPr>
        <w:t xml:space="preserve">, refer to the </w:t>
      </w:r>
      <w:r w:rsidR="0029417A">
        <w:rPr>
          <w:i/>
          <w:iCs/>
          <w:sz w:val="18"/>
          <w:szCs w:val="18"/>
        </w:rPr>
        <w:t>C</w:t>
      </w:r>
      <w:r>
        <w:rPr>
          <w:i/>
          <w:iCs/>
          <w:sz w:val="18"/>
          <w:szCs w:val="18"/>
        </w:rPr>
        <w:t xml:space="preserve">ontracted service providers </w:t>
      </w:r>
      <w:r w:rsidR="0029417A">
        <w:rPr>
          <w:i/>
          <w:iCs/>
          <w:sz w:val="18"/>
          <w:szCs w:val="18"/>
        </w:rPr>
        <w:t>and the Queensland Privacy Principles</w:t>
      </w:r>
      <w:r w:rsidRPr="0029417A">
        <w:rPr>
          <w:sz w:val="18"/>
          <w:szCs w:val="18"/>
        </w:rPr>
        <w:t xml:space="preserve"> fact sheet</w:t>
      </w:r>
      <w:bookmarkEnd w:id="1"/>
      <w:r>
        <w:rPr>
          <w:i/>
          <w:iCs/>
          <w:sz w:val="18"/>
          <w:szCs w:val="18"/>
        </w:rPr>
        <w:t>.</w:t>
      </w:r>
    </w:p>
  </w:footnote>
  <w:footnote w:id="2">
    <w:p w14:paraId="62400BE7" w14:textId="77777777" w:rsidR="00074B2F" w:rsidRPr="00BB2340" w:rsidRDefault="00074B2F" w:rsidP="00074B2F">
      <w:pPr>
        <w:pStyle w:val="FootnoteText"/>
        <w:spacing w:after="60"/>
        <w:rPr>
          <w:sz w:val="18"/>
          <w:szCs w:val="18"/>
        </w:rPr>
      </w:pPr>
      <w:r w:rsidRPr="00BB2340">
        <w:rPr>
          <w:rStyle w:val="FootnoteReference"/>
          <w:sz w:val="18"/>
          <w:szCs w:val="18"/>
        </w:rPr>
        <w:footnoteRef/>
      </w:r>
      <w:r w:rsidRPr="00BB2340">
        <w:rPr>
          <w:sz w:val="18"/>
          <w:szCs w:val="18"/>
        </w:rPr>
        <w:t xml:space="preserve"> </w:t>
      </w:r>
      <w:bookmarkStart w:id="3" w:name="_Hlk193193682"/>
      <w:r w:rsidRPr="00BB2340">
        <w:rPr>
          <w:i/>
          <w:iCs/>
          <w:sz w:val="18"/>
          <w:szCs w:val="18"/>
        </w:rPr>
        <w:t xml:space="preserve">Information Privacy Act 2009, </w:t>
      </w:r>
      <w:r w:rsidRPr="00BB2340">
        <w:rPr>
          <w:sz w:val="18"/>
          <w:szCs w:val="18"/>
        </w:rPr>
        <w:t>section 12</w:t>
      </w:r>
      <w:bookmarkEnd w:id="3"/>
    </w:p>
  </w:footnote>
  <w:footnote w:id="3">
    <w:p w14:paraId="1D1FB559" w14:textId="77777777" w:rsidR="00CD6E0A" w:rsidRPr="00E5134C" w:rsidRDefault="00CD6E0A" w:rsidP="00CD6E0A">
      <w:pPr>
        <w:pStyle w:val="FootnoteText"/>
        <w:spacing w:after="60"/>
        <w:rPr>
          <w:sz w:val="18"/>
          <w:szCs w:val="18"/>
        </w:rPr>
      </w:pPr>
      <w:r>
        <w:rPr>
          <w:rStyle w:val="FootnoteReference"/>
        </w:rPr>
        <w:footnoteRef/>
      </w:r>
      <w:r>
        <w:t xml:space="preserve"> </w:t>
      </w:r>
      <w:r w:rsidRPr="00E5134C">
        <w:rPr>
          <w:sz w:val="18"/>
          <w:szCs w:val="18"/>
        </w:rPr>
        <w:t>Although the contract require</w:t>
      </w:r>
      <w:r>
        <w:rPr>
          <w:sz w:val="18"/>
          <w:szCs w:val="18"/>
        </w:rPr>
        <w:t>s CSPs to</w:t>
      </w:r>
      <w:r w:rsidRPr="00E5134C">
        <w:rPr>
          <w:sz w:val="18"/>
          <w:szCs w:val="18"/>
        </w:rPr>
        <w:t xml:space="preserve"> compl</w:t>
      </w:r>
      <w:r>
        <w:rPr>
          <w:sz w:val="18"/>
          <w:szCs w:val="18"/>
        </w:rPr>
        <w:t>y</w:t>
      </w:r>
      <w:r w:rsidRPr="00E5134C">
        <w:rPr>
          <w:sz w:val="18"/>
          <w:szCs w:val="18"/>
        </w:rPr>
        <w:t xml:space="preserve"> with the Queensland </w:t>
      </w:r>
      <w:r w:rsidRPr="00E5134C">
        <w:rPr>
          <w:i/>
          <w:iCs/>
          <w:sz w:val="18"/>
          <w:szCs w:val="18"/>
        </w:rPr>
        <w:t>Information Privacy Act 2009</w:t>
      </w:r>
      <w:r w:rsidRPr="00E5134C">
        <w:rPr>
          <w:sz w:val="18"/>
          <w:szCs w:val="18"/>
        </w:rPr>
        <w:t>, CSP</w:t>
      </w:r>
      <w:r>
        <w:rPr>
          <w:sz w:val="18"/>
          <w:szCs w:val="18"/>
        </w:rPr>
        <w:t>s</w:t>
      </w:r>
      <w:r w:rsidRPr="00E5134C">
        <w:rPr>
          <w:sz w:val="18"/>
          <w:szCs w:val="18"/>
        </w:rPr>
        <w:t xml:space="preserve"> </w:t>
      </w:r>
      <w:r>
        <w:rPr>
          <w:sz w:val="18"/>
          <w:szCs w:val="18"/>
        </w:rPr>
        <w:t>can rely on</w:t>
      </w:r>
      <w:r w:rsidRPr="00E5134C">
        <w:rPr>
          <w:sz w:val="18"/>
          <w:szCs w:val="18"/>
        </w:rPr>
        <w:t xml:space="preserve"> a Privacy plan</w:t>
      </w:r>
      <w:r>
        <w:rPr>
          <w:sz w:val="18"/>
          <w:szCs w:val="18"/>
        </w:rPr>
        <w:t xml:space="preserve"> or p</w:t>
      </w:r>
      <w:r w:rsidRPr="00E5134C">
        <w:rPr>
          <w:sz w:val="18"/>
          <w:szCs w:val="18"/>
        </w:rPr>
        <w:t xml:space="preserve">olicy </w:t>
      </w:r>
      <w:r>
        <w:rPr>
          <w:sz w:val="18"/>
          <w:szCs w:val="18"/>
        </w:rPr>
        <w:t xml:space="preserve">developed </w:t>
      </w:r>
      <w:r w:rsidRPr="00E5134C">
        <w:rPr>
          <w:sz w:val="18"/>
          <w:szCs w:val="18"/>
        </w:rPr>
        <w:t xml:space="preserve">in accordance with the </w:t>
      </w:r>
      <w:r w:rsidRPr="00E5134C">
        <w:rPr>
          <w:i/>
          <w:iCs/>
          <w:sz w:val="18"/>
          <w:szCs w:val="18"/>
        </w:rPr>
        <w:t xml:space="preserve">Privacy Act 1988 </w:t>
      </w:r>
      <w:r w:rsidRPr="00E5134C">
        <w:rPr>
          <w:sz w:val="18"/>
          <w:szCs w:val="18"/>
        </w:rPr>
        <w:t xml:space="preserve">(Cth). </w:t>
      </w:r>
    </w:p>
  </w:footnote>
  <w:footnote w:id="4">
    <w:p w14:paraId="647CD90B" w14:textId="77777777" w:rsidR="00CD6E0A" w:rsidRDefault="00CD6E0A" w:rsidP="00CD6E0A">
      <w:pPr>
        <w:pStyle w:val="FootnoteText"/>
        <w:spacing w:after="60"/>
      </w:pPr>
      <w:r>
        <w:rPr>
          <w:rStyle w:val="FootnoteReference"/>
        </w:rPr>
        <w:footnoteRef/>
      </w:r>
      <w:r>
        <w:t xml:space="preserve"> </w:t>
      </w:r>
      <w:bookmarkStart w:id="4" w:name="_Hlk193194187"/>
      <w:r w:rsidRPr="00BB2340">
        <w:rPr>
          <w:i/>
          <w:iCs/>
          <w:sz w:val="18"/>
          <w:szCs w:val="18"/>
        </w:rPr>
        <w:t xml:space="preserve">Information Privacy Act 2009, </w:t>
      </w:r>
      <w:r w:rsidRPr="00BB2340">
        <w:rPr>
          <w:sz w:val="18"/>
          <w:szCs w:val="18"/>
        </w:rPr>
        <w:t>sectio</w:t>
      </w:r>
      <w:r>
        <w:rPr>
          <w:sz w:val="18"/>
          <w:szCs w:val="18"/>
        </w:rPr>
        <w:t>ns 34-37</w:t>
      </w:r>
      <w:bookmarkEnd w:id="4"/>
    </w:p>
  </w:footnote>
  <w:footnote w:id="5">
    <w:p w14:paraId="4E158C56" w14:textId="77777777" w:rsidR="00074B2F" w:rsidRPr="00BB2340" w:rsidRDefault="00074B2F" w:rsidP="00074B2F">
      <w:pPr>
        <w:pStyle w:val="Default"/>
        <w:rPr>
          <w:sz w:val="18"/>
          <w:szCs w:val="18"/>
        </w:rPr>
      </w:pPr>
      <w:r w:rsidRPr="00E6199D">
        <w:rPr>
          <w:rStyle w:val="FootnoteReference"/>
          <w:sz w:val="18"/>
          <w:szCs w:val="18"/>
        </w:rPr>
        <w:footnoteRef/>
      </w:r>
      <w:r w:rsidRPr="00E6199D">
        <w:rPr>
          <w:sz w:val="18"/>
          <w:szCs w:val="18"/>
        </w:rPr>
        <w:t xml:space="preserve"> </w:t>
      </w:r>
      <w:r>
        <w:rPr>
          <w:i/>
          <w:iCs/>
          <w:sz w:val="18"/>
          <w:szCs w:val="18"/>
        </w:rPr>
        <w:t>A ‘h</w:t>
      </w:r>
      <w:r w:rsidRPr="00E6199D">
        <w:rPr>
          <w:i/>
          <w:iCs/>
          <w:sz w:val="18"/>
          <w:szCs w:val="18"/>
        </w:rPr>
        <w:t>ealth agenc</w:t>
      </w:r>
      <w:r>
        <w:rPr>
          <w:i/>
          <w:iCs/>
          <w:sz w:val="18"/>
          <w:szCs w:val="18"/>
        </w:rPr>
        <w:t>y</w:t>
      </w:r>
      <w:r w:rsidRPr="00E6199D">
        <w:rPr>
          <w:i/>
          <w:iCs/>
          <w:sz w:val="18"/>
          <w:szCs w:val="18"/>
        </w:rPr>
        <w:t xml:space="preserve">’ </w:t>
      </w:r>
      <w:r>
        <w:rPr>
          <w:i/>
          <w:iCs/>
          <w:sz w:val="18"/>
          <w:szCs w:val="18"/>
        </w:rPr>
        <w:t xml:space="preserve">is required </w:t>
      </w:r>
      <w:r w:rsidRPr="00E6199D">
        <w:rPr>
          <w:i/>
          <w:iCs/>
          <w:sz w:val="18"/>
          <w:szCs w:val="18"/>
        </w:rPr>
        <w:t>to comply with the National Privacy Principles (NPPs) set out in schedule 4 of the</w:t>
      </w:r>
      <w:r>
        <w:rPr>
          <w:i/>
          <w:iCs/>
          <w:sz w:val="18"/>
          <w:szCs w:val="18"/>
        </w:rPr>
        <w:t xml:space="preserve"> IP</w:t>
      </w:r>
      <w:r w:rsidRPr="00E6199D">
        <w:rPr>
          <w:i/>
          <w:iCs/>
          <w:sz w:val="18"/>
          <w:szCs w:val="18"/>
        </w:rPr>
        <w:t xml:space="preserve"> Act. However,</w:t>
      </w:r>
      <w:r>
        <w:rPr>
          <w:i/>
          <w:iCs/>
          <w:sz w:val="18"/>
          <w:szCs w:val="18"/>
        </w:rPr>
        <w:t xml:space="preserve"> the department is not a</w:t>
      </w:r>
      <w:r w:rsidRPr="00E6199D">
        <w:rPr>
          <w:i/>
          <w:iCs/>
          <w:sz w:val="18"/>
          <w:szCs w:val="18"/>
        </w:rPr>
        <w:t xml:space="preserve"> health agenc</w:t>
      </w:r>
      <w:r>
        <w:rPr>
          <w:i/>
          <w:iCs/>
          <w:sz w:val="18"/>
          <w:szCs w:val="18"/>
        </w:rPr>
        <w:t>y, and</w:t>
      </w:r>
      <w:r w:rsidRPr="00E6199D">
        <w:rPr>
          <w:i/>
          <w:iCs/>
          <w:sz w:val="18"/>
          <w:szCs w:val="18"/>
        </w:rPr>
        <w:t xml:space="preserve"> this fact sheet does not discuss the NPPs.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0051937D">
          <wp:simplePos x="0" y="0"/>
          <wp:positionH relativeFrom="page">
            <wp:align>right</wp:align>
          </wp:positionH>
          <wp:positionV relativeFrom="page">
            <wp:posOffset>-796</wp:posOffset>
          </wp:positionV>
          <wp:extent cx="7534275" cy="885190"/>
          <wp:effectExtent l="0" t="0" r="9525" b="0"/>
          <wp:wrapNone/>
          <wp:docPr id="11544454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0FB" w14:textId="0145152F" w:rsidR="009E2F0E" w:rsidRDefault="009263D0">
    <w:pPr>
      <w:pStyle w:val="Header"/>
    </w:pPr>
    <w:r>
      <w:rPr>
        <w:noProof/>
      </w:rPr>
      <w:drawing>
        <wp:anchor distT="0" distB="0" distL="114300" distR="114300" simplePos="0" relativeHeight="251673600" behindDoc="1" locked="1" layoutInCell="1" allowOverlap="1" wp14:anchorId="524A61F2" wp14:editId="36B1DF5A">
          <wp:simplePos x="0" y="0"/>
          <wp:positionH relativeFrom="column">
            <wp:posOffset>-721360</wp:posOffset>
          </wp:positionH>
          <wp:positionV relativeFrom="page">
            <wp:posOffset>-2540</wp:posOffset>
          </wp:positionV>
          <wp:extent cx="7559675" cy="1205865"/>
          <wp:effectExtent l="0" t="0" r="0" b="635"/>
          <wp:wrapNone/>
          <wp:docPr id="717622050"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B75" w14:textId="77777777" w:rsidR="009263D0" w:rsidRDefault="009263D0" w:rsidP="009263D0">
    <w:pPr>
      <w:pStyle w:val="Header"/>
    </w:pPr>
  </w:p>
  <w:p w14:paraId="5FAF2558" w14:textId="77777777" w:rsidR="009263D0" w:rsidRDefault="009263D0" w:rsidP="009263D0">
    <w:pPr>
      <w:pStyle w:val="Header"/>
    </w:pPr>
  </w:p>
  <w:p w14:paraId="5D41AC8C" w14:textId="77777777" w:rsidR="009263D0" w:rsidRDefault="009263D0" w:rsidP="009263D0">
    <w:pPr>
      <w:pStyle w:val="Header"/>
    </w:pPr>
  </w:p>
  <w:p w14:paraId="6217532F" w14:textId="6FC6D98C" w:rsidR="00986105" w:rsidRDefault="00664377">
    <w:pPr>
      <w:pStyle w:val="Header"/>
    </w:pPr>
    <w:r>
      <w:t>Information Privacy &amp; CSPs</w:t>
    </w:r>
    <w:r w:rsidR="00467C32">
      <w:t xml:space="preserve"> (IPOLA)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A266D"/>
    <w:multiLevelType w:val="hybridMultilevel"/>
    <w:tmpl w:val="98FA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610BBB"/>
    <w:multiLevelType w:val="hybridMultilevel"/>
    <w:tmpl w:val="6A40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193419"/>
    <w:multiLevelType w:val="hybridMultilevel"/>
    <w:tmpl w:val="A8567D8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36162F"/>
    <w:multiLevelType w:val="hybridMultilevel"/>
    <w:tmpl w:val="60E2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944C33"/>
    <w:multiLevelType w:val="hybridMultilevel"/>
    <w:tmpl w:val="2BD288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AC240E"/>
    <w:multiLevelType w:val="hybridMultilevel"/>
    <w:tmpl w:val="B78E617E"/>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15:restartNumberingAfterBreak="0">
    <w:nsid w:val="23AC3396"/>
    <w:multiLevelType w:val="hybridMultilevel"/>
    <w:tmpl w:val="F1364E4C"/>
    <w:lvl w:ilvl="0" w:tplc="068218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FA082D"/>
    <w:multiLevelType w:val="hybridMultilevel"/>
    <w:tmpl w:val="15D034E2"/>
    <w:lvl w:ilvl="0" w:tplc="FFFFFFFF">
      <w:start w:val="1"/>
      <w:numFmt w:val="bullet"/>
      <w:lvlText w:val="o"/>
      <w:lvlJc w:val="left"/>
      <w:pPr>
        <w:ind w:left="786" w:hanging="360"/>
      </w:pPr>
      <w:rPr>
        <w:rFonts w:ascii="Courier New" w:hAnsi="Courier New" w:cs="Courier New" w:hint="default"/>
      </w:rPr>
    </w:lvl>
    <w:lvl w:ilvl="1" w:tplc="0C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 w15:restartNumberingAfterBreak="0">
    <w:nsid w:val="29056DB7"/>
    <w:multiLevelType w:val="hybridMultilevel"/>
    <w:tmpl w:val="9D682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30263D"/>
    <w:multiLevelType w:val="hybridMultilevel"/>
    <w:tmpl w:val="80388C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7B381E"/>
    <w:multiLevelType w:val="hybridMultilevel"/>
    <w:tmpl w:val="2E18B90C"/>
    <w:lvl w:ilvl="0" w:tplc="0C090003">
      <w:start w:val="1"/>
      <w:numFmt w:val="bullet"/>
      <w:lvlText w:val="o"/>
      <w:lvlJc w:val="left"/>
      <w:pPr>
        <w:ind w:left="786" w:hanging="360"/>
      </w:pPr>
      <w:rPr>
        <w:rFonts w:ascii="Courier New" w:hAnsi="Courier New" w:cs="Courier New" w:hint="default"/>
      </w:rPr>
    </w:lvl>
    <w:lvl w:ilvl="1" w:tplc="FFFFFFFF">
      <w:numFmt w:val="bullet"/>
      <w:lvlText w:val="•"/>
      <w:lvlJc w:val="left"/>
      <w:pPr>
        <w:ind w:left="1506" w:hanging="360"/>
      </w:pPr>
      <w:rPr>
        <w:rFonts w:ascii="Arial" w:eastAsia="Times New Roman" w:hAnsi="Arial" w:cs="Aria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1" w15:restartNumberingAfterBreak="0">
    <w:nsid w:val="52D4612A"/>
    <w:multiLevelType w:val="hybridMultilevel"/>
    <w:tmpl w:val="8166889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EB3092"/>
    <w:multiLevelType w:val="hybridMultilevel"/>
    <w:tmpl w:val="E334D2B2"/>
    <w:lvl w:ilvl="0" w:tplc="0C090003">
      <w:start w:val="1"/>
      <w:numFmt w:val="bullet"/>
      <w:lvlText w:val="o"/>
      <w:lvlJc w:val="left"/>
      <w:pPr>
        <w:ind w:left="1070" w:hanging="360"/>
      </w:pPr>
      <w:rPr>
        <w:rFonts w:ascii="Courier New" w:hAnsi="Courier New" w:cs="Courier New" w:hint="default"/>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3" w15:restartNumberingAfterBreak="0">
    <w:nsid w:val="6D7C01C3"/>
    <w:multiLevelType w:val="hybridMultilevel"/>
    <w:tmpl w:val="5B14A260"/>
    <w:lvl w:ilvl="0" w:tplc="19DEE0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071A26"/>
    <w:multiLevelType w:val="hybridMultilevel"/>
    <w:tmpl w:val="B1CC9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843C44"/>
    <w:multiLevelType w:val="hybridMultilevel"/>
    <w:tmpl w:val="1CC8AC36"/>
    <w:lvl w:ilvl="0" w:tplc="F42854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A26AE5"/>
    <w:multiLevelType w:val="hybridMultilevel"/>
    <w:tmpl w:val="3EA4A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2E17F3"/>
    <w:multiLevelType w:val="hybridMultilevel"/>
    <w:tmpl w:val="5220218E"/>
    <w:lvl w:ilvl="0" w:tplc="0C090001">
      <w:start w:val="1"/>
      <w:numFmt w:val="bullet"/>
      <w:lvlText w:val=""/>
      <w:lvlJc w:val="left"/>
      <w:pPr>
        <w:ind w:left="786" w:hanging="360"/>
      </w:pPr>
      <w:rPr>
        <w:rFonts w:ascii="Symbol" w:hAnsi="Symbol" w:hint="default"/>
      </w:rPr>
    </w:lvl>
    <w:lvl w:ilvl="1" w:tplc="863AF0BE">
      <w:numFmt w:val="bullet"/>
      <w:lvlText w:val="•"/>
      <w:lvlJc w:val="left"/>
      <w:pPr>
        <w:ind w:left="1506" w:hanging="360"/>
      </w:pPr>
      <w:rPr>
        <w:rFonts w:ascii="Arial" w:eastAsia="Times New Roman" w:hAnsi="Arial" w:cs="Arial"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391683707">
    <w:abstractNumId w:val="10"/>
  </w:num>
  <w:num w:numId="12" w16cid:durableId="1680352204">
    <w:abstractNumId w:val="16"/>
  </w:num>
  <w:num w:numId="13" w16cid:durableId="1557275421">
    <w:abstractNumId w:val="12"/>
  </w:num>
  <w:num w:numId="14" w16cid:durableId="931744642">
    <w:abstractNumId w:val="26"/>
  </w:num>
  <w:num w:numId="15" w16cid:durableId="513501527">
    <w:abstractNumId w:val="25"/>
  </w:num>
  <w:num w:numId="16" w16cid:durableId="1054696462">
    <w:abstractNumId w:val="19"/>
  </w:num>
  <w:num w:numId="17" w16cid:durableId="536236711">
    <w:abstractNumId w:val="11"/>
  </w:num>
  <w:num w:numId="18" w16cid:durableId="163513887">
    <w:abstractNumId w:val="23"/>
  </w:num>
  <w:num w:numId="19" w16cid:durableId="2028409539">
    <w:abstractNumId w:val="27"/>
  </w:num>
  <w:num w:numId="20" w16cid:durableId="1352802124">
    <w:abstractNumId w:val="24"/>
  </w:num>
  <w:num w:numId="21" w16cid:durableId="765080332">
    <w:abstractNumId w:val="15"/>
  </w:num>
  <w:num w:numId="22" w16cid:durableId="32536182">
    <w:abstractNumId w:val="22"/>
  </w:num>
  <w:num w:numId="23" w16cid:durableId="275790344">
    <w:abstractNumId w:val="20"/>
  </w:num>
  <w:num w:numId="24" w16cid:durableId="1610620866">
    <w:abstractNumId w:val="14"/>
  </w:num>
  <w:num w:numId="25" w16cid:durableId="1386947215">
    <w:abstractNumId w:val="17"/>
  </w:num>
  <w:num w:numId="26" w16cid:durableId="1782455932">
    <w:abstractNumId w:val="18"/>
  </w:num>
  <w:num w:numId="27" w16cid:durableId="1274051643">
    <w:abstractNumId w:val="21"/>
  </w:num>
  <w:num w:numId="28" w16cid:durableId="1315569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3B1A"/>
    <w:rsid w:val="000253BB"/>
    <w:rsid w:val="000254AC"/>
    <w:rsid w:val="00025A5B"/>
    <w:rsid w:val="0002752A"/>
    <w:rsid w:val="000318F2"/>
    <w:rsid w:val="00031AB2"/>
    <w:rsid w:val="00031C73"/>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4B2F"/>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16D"/>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1C6"/>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2A32"/>
    <w:rsid w:val="0018452C"/>
    <w:rsid w:val="0018468F"/>
    <w:rsid w:val="00184986"/>
    <w:rsid w:val="00184D78"/>
    <w:rsid w:val="00190BDD"/>
    <w:rsid w:val="001920CF"/>
    <w:rsid w:val="00192503"/>
    <w:rsid w:val="00197A44"/>
    <w:rsid w:val="00197F61"/>
    <w:rsid w:val="001A1697"/>
    <w:rsid w:val="001A18B0"/>
    <w:rsid w:val="001A2237"/>
    <w:rsid w:val="001A29E7"/>
    <w:rsid w:val="001A37C0"/>
    <w:rsid w:val="001A616B"/>
    <w:rsid w:val="001A7262"/>
    <w:rsid w:val="001B02F3"/>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48"/>
    <w:rsid w:val="00234764"/>
    <w:rsid w:val="00234F4B"/>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871"/>
    <w:rsid w:val="00275AD5"/>
    <w:rsid w:val="0027697C"/>
    <w:rsid w:val="00277AF1"/>
    <w:rsid w:val="002811EA"/>
    <w:rsid w:val="002813D9"/>
    <w:rsid w:val="002816CF"/>
    <w:rsid w:val="00281A08"/>
    <w:rsid w:val="00281F84"/>
    <w:rsid w:val="00283014"/>
    <w:rsid w:val="00285023"/>
    <w:rsid w:val="00286E98"/>
    <w:rsid w:val="00287F83"/>
    <w:rsid w:val="00287FAF"/>
    <w:rsid w:val="00290D88"/>
    <w:rsid w:val="0029248B"/>
    <w:rsid w:val="00293B16"/>
    <w:rsid w:val="0029417A"/>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612"/>
    <w:rsid w:val="00317A94"/>
    <w:rsid w:val="00317B8E"/>
    <w:rsid w:val="00322263"/>
    <w:rsid w:val="00322C3D"/>
    <w:rsid w:val="00323C8B"/>
    <w:rsid w:val="00325684"/>
    <w:rsid w:val="0032578E"/>
    <w:rsid w:val="00325B61"/>
    <w:rsid w:val="00326E26"/>
    <w:rsid w:val="0033480A"/>
    <w:rsid w:val="003351D1"/>
    <w:rsid w:val="00335E8D"/>
    <w:rsid w:val="003434D6"/>
    <w:rsid w:val="0034361B"/>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0E3D"/>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3B76"/>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1C46"/>
    <w:rsid w:val="00415F3D"/>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389B"/>
    <w:rsid w:val="004346FA"/>
    <w:rsid w:val="00435261"/>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67C32"/>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29C8"/>
    <w:rsid w:val="004E35C8"/>
    <w:rsid w:val="004E5D7A"/>
    <w:rsid w:val="004E68E9"/>
    <w:rsid w:val="004E7444"/>
    <w:rsid w:val="004E761F"/>
    <w:rsid w:val="004E7FFE"/>
    <w:rsid w:val="004F165D"/>
    <w:rsid w:val="004F191C"/>
    <w:rsid w:val="004F19A9"/>
    <w:rsid w:val="004F40EF"/>
    <w:rsid w:val="004F548E"/>
    <w:rsid w:val="004F6072"/>
    <w:rsid w:val="004F674A"/>
    <w:rsid w:val="004F765F"/>
    <w:rsid w:val="00501650"/>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378DF"/>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4377"/>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48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82F"/>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786"/>
    <w:rsid w:val="007225BE"/>
    <w:rsid w:val="00724AF6"/>
    <w:rsid w:val="00725004"/>
    <w:rsid w:val="00731F8F"/>
    <w:rsid w:val="007332B1"/>
    <w:rsid w:val="00733823"/>
    <w:rsid w:val="00735225"/>
    <w:rsid w:val="00742DC7"/>
    <w:rsid w:val="007430DB"/>
    <w:rsid w:val="0074685F"/>
    <w:rsid w:val="00747E0A"/>
    <w:rsid w:val="0075120E"/>
    <w:rsid w:val="0075472C"/>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96D6E"/>
    <w:rsid w:val="007A0BEE"/>
    <w:rsid w:val="007A2A5E"/>
    <w:rsid w:val="007A2BEF"/>
    <w:rsid w:val="007A3D8B"/>
    <w:rsid w:val="007A401A"/>
    <w:rsid w:val="007A57FA"/>
    <w:rsid w:val="007A5855"/>
    <w:rsid w:val="007A63B7"/>
    <w:rsid w:val="007A7C47"/>
    <w:rsid w:val="007B0C49"/>
    <w:rsid w:val="007B2537"/>
    <w:rsid w:val="007B27DB"/>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AFA"/>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54C1"/>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0D85"/>
    <w:rsid w:val="008A119F"/>
    <w:rsid w:val="008A30BC"/>
    <w:rsid w:val="008A3656"/>
    <w:rsid w:val="008A414F"/>
    <w:rsid w:val="008A525C"/>
    <w:rsid w:val="008A5A89"/>
    <w:rsid w:val="008A6495"/>
    <w:rsid w:val="008A7BAA"/>
    <w:rsid w:val="008B3922"/>
    <w:rsid w:val="008B394A"/>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05FB"/>
    <w:rsid w:val="009229CC"/>
    <w:rsid w:val="00922B2D"/>
    <w:rsid w:val="00923072"/>
    <w:rsid w:val="00923681"/>
    <w:rsid w:val="0092524B"/>
    <w:rsid w:val="009254A7"/>
    <w:rsid w:val="009259FE"/>
    <w:rsid w:val="0092633E"/>
    <w:rsid w:val="009263D0"/>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5BC9"/>
    <w:rsid w:val="009A62D1"/>
    <w:rsid w:val="009B305D"/>
    <w:rsid w:val="009B3376"/>
    <w:rsid w:val="009B4134"/>
    <w:rsid w:val="009B5134"/>
    <w:rsid w:val="009B5B61"/>
    <w:rsid w:val="009C0859"/>
    <w:rsid w:val="009C44B2"/>
    <w:rsid w:val="009C5179"/>
    <w:rsid w:val="009C538E"/>
    <w:rsid w:val="009C56E7"/>
    <w:rsid w:val="009C57F9"/>
    <w:rsid w:val="009C5A18"/>
    <w:rsid w:val="009C6261"/>
    <w:rsid w:val="009C6AD5"/>
    <w:rsid w:val="009C7E4F"/>
    <w:rsid w:val="009D3309"/>
    <w:rsid w:val="009D7997"/>
    <w:rsid w:val="009D7D13"/>
    <w:rsid w:val="009E01A5"/>
    <w:rsid w:val="009E05C7"/>
    <w:rsid w:val="009E19D5"/>
    <w:rsid w:val="009E240E"/>
    <w:rsid w:val="009E2F0E"/>
    <w:rsid w:val="009E499C"/>
    <w:rsid w:val="009E4E93"/>
    <w:rsid w:val="009E73B5"/>
    <w:rsid w:val="009F06BB"/>
    <w:rsid w:val="009F0D71"/>
    <w:rsid w:val="009F3748"/>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3276"/>
    <w:rsid w:val="00A751E1"/>
    <w:rsid w:val="00A753D2"/>
    <w:rsid w:val="00A75C27"/>
    <w:rsid w:val="00A7629C"/>
    <w:rsid w:val="00A76C04"/>
    <w:rsid w:val="00A802DF"/>
    <w:rsid w:val="00A82E0E"/>
    <w:rsid w:val="00A834BE"/>
    <w:rsid w:val="00A8351E"/>
    <w:rsid w:val="00A929B8"/>
    <w:rsid w:val="00A946A2"/>
    <w:rsid w:val="00A9531F"/>
    <w:rsid w:val="00A956A9"/>
    <w:rsid w:val="00A960DA"/>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98D"/>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1982"/>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8B9"/>
    <w:rsid w:val="00B93A20"/>
    <w:rsid w:val="00B93FB0"/>
    <w:rsid w:val="00B94132"/>
    <w:rsid w:val="00B9456A"/>
    <w:rsid w:val="00B946CE"/>
    <w:rsid w:val="00B94C7F"/>
    <w:rsid w:val="00B95697"/>
    <w:rsid w:val="00B96CE8"/>
    <w:rsid w:val="00B97B42"/>
    <w:rsid w:val="00B97FED"/>
    <w:rsid w:val="00BA0320"/>
    <w:rsid w:val="00BA0382"/>
    <w:rsid w:val="00BA4B33"/>
    <w:rsid w:val="00BA6C30"/>
    <w:rsid w:val="00BB0321"/>
    <w:rsid w:val="00BB062A"/>
    <w:rsid w:val="00BB14B4"/>
    <w:rsid w:val="00BB3AE9"/>
    <w:rsid w:val="00BB3E14"/>
    <w:rsid w:val="00BB3E3E"/>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4F59"/>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5FE1"/>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4F70"/>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49F7"/>
    <w:rsid w:val="00CA54E0"/>
    <w:rsid w:val="00CA5CC6"/>
    <w:rsid w:val="00CB253F"/>
    <w:rsid w:val="00CB2D98"/>
    <w:rsid w:val="00CB7A3F"/>
    <w:rsid w:val="00CB7A6B"/>
    <w:rsid w:val="00CC2FFE"/>
    <w:rsid w:val="00CC4468"/>
    <w:rsid w:val="00CD0933"/>
    <w:rsid w:val="00CD1B40"/>
    <w:rsid w:val="00CD3E17"/>
    <w:rsid w:val="00CD52BB"/>
    <w:rsid w:val="00CD6E0A"/>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A9E"/>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849"/>
    <w:rsid w:val="00D9591F"/>
    <w:rsid w:val="00D97FDB"/>
    <w:rsid w:val="00DA191A"/>
    <w:rsid w:val="00DA1F58"/>
    <w:rsid w:val="00DA2172"/>
    <w:rsid w:val="00DA289F"/>
    <w:rsid w:val="00DA33F6"/>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14D2"/>
    <w:rsid w:val="00DE1835"/>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2E3"/>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28AE"/>
    <w:rsid w:val="00EB4155"/>
    <w:rsid w:val="00EB4550"/>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01A"/>
    <w:rsid w:val="00F27EDC"/>
    <w:rsid w:val="00F31EA8"/>
    <w:rsid w:val="00F33A82"/>
    <w:rsid w:val="00F33A9D"/>
    <w:rsid w:val="00F341FA"/>
    <w:rsid w:val="00F37F68"/>
    <w:rsid w:val="00F40AAE"/>
    <w:rsid w:val="00F41177"/>
    <w:rsid w:val="00F4272B"/>
    <w:rsid w:val="00F4345C"/>
    <w:rsid w:val="00F43517"/>
    <w:rsid w:val="00F464A2"/>
    <w:rsid w:val="00F46FE3"/>
    <w:rsid w:val="00F47D26"/>
    <w:rsid w:val="00F5125C"/>
    <w:rsid w:val="00F51A2F"/>
    <w:rsid w:val="00F523EB"/>
    <w:rsid w:val="00F52B97"/>
    <w:rsid w:val="00F56240"/>
    <w:rsid w:val="00F603AD"/>
    <w:rsid w:val="00F61593"/>
    <w:rsid w:val="00F6174A"/>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352E"/>
    <w:rsid w:val="00FE4FE9"/>
    <w:rsid w:val="00FE71E4"/>
    <w:rsid w:val="00FE7FC9"/>
    <w:rsid w:val="00FF2C85"/>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70A6511F-944E-4B2F-97F7-917176EE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273871"/>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D03A9E"/>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D03A9E"/>
    <w:pPr>
      <w:spacing w:before="120"/>
      <w:outlineLvl w:val="3"/>
    </w:pPr>
    <w:rPr>
      <w:color w:val="26555C"/>
      <w:sz w:val="24"/>
      <w:szCs w:val="28"/>
    </w:rPr>
  </w:style>
  <w:style w:type="paragraph" w:styleId="Heading5">
    <w:name w:val="heading 5"/>
    <w:basedOn w:val="Normal"/>
    <w:next w:val="Normal"/>
    <w:link w:val="Heading5Char"/>
    <w:unhideWhenUsed/>
    <w:qFormat/>
    <w:rsid w:val="009263D0"/>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link w:val="FooterChar"/>
    <w:uiPriority w:val="99"/>
    <w:rsid w:val="009E2F0E"/>
    <w:pPr>
      <w:tabs>
        <w:tab w:val="right" w:pos="9638"/>
      </w:tabs>
      <w:spacing w:after="0"/>
    </w:pPr>
    <w:rPr>
      <w:sz w:val="20"/>
      <w:szCs w:val="28"/>
    </w:rPr>
  </w:style>
  <w:style w:type="character" w:customStyle="1" w:styleId="Heading4Char">
    <w:name w:val="Heading 4 Char"/>
    <w:basedOn w:val="DefaultParagraphFont"/>
    <w:link w:val="Heading4"/>
    <w:rsid w:val="00D03A9E"/>
    <w:rPr>
      <w:rFonts w:ascii="Arial" w:hAnsi="Arial"/>
      <w:color w:val="26555C"/>
      <w:sz w:val="24"/>
      <w:szCs w:val="28"/>
      <w:lang w:eastAsia="en-AU"/>
    </w:rPr>
  </w:style>
  <w:style w:type="character" w:customStyle="1" w:styleId="Heading5Char">
    <w:name w:val="Heading 5 Char"/>
    <w:basedOn w:val="DefaultParagraphFont"/>
    <w:link w:val="Heading5"/>
    <w:rsid w:val="009263D0"/>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character" w:styleId="UnresolvedMention">
    <w:name w:val="Unresolved Mention"/>
    <w:basedOn w:val="DefaultParagraphFont"/>
    <w:uiPriority w:val="99"/>
    <w:semiHidden/>
    <w:unhideWhenUsed/>
    <w:rsid w:val="00197A44"/>
    <w:rPr>
      <w:color w:val="605E5C"/>
      <w:shd w:val="clear" w:color="auto" w:fill="E1DFDD"/>
    </w:rPr>
  </w:style>
  <w:style w:type="character" w:styleId="CommentReference">
    <w:name w:val="annotation reference"/>
    <w:basedOn w:val="DefaultParagraphFont"/>
    <w:rsid w:val="00CA49F7"/>
    <w:rPr>
      <w:sz w:val="16"/>
      <w:szCs w:val="16"/>
    </w:rPr>
  </w:style>
  <w:style w:type="paragraph" w:styleId="CommentText">
    <w:name w:val="annotation text"/>
    <w:basedOn w:val="Normal"/>
    <w:link w:val="CommentTextChar"/>
    <w:rsid w:val="00CA49F7"/>
    <w:rPr>
      <w:sz w:val="20"/>
      <w:szCs w:val="20"/>
    </w:rPr>
  </w:style>
  <w:style w:type="character" w:customStyle="1" w:styleId="CommentTextChar">
    <w:name w:val="Comment Text Char"/>
    <w:basedOn w:val="DefaultParagraphFont"/>
    <w:link w:val="CommentText"/>
    <w:rsid w:val="00CA49F7"/>
    <w:rPr>
      <w:rFonts w:ascii="Arial" w:hAnsi="Arial"/>
      <w:lang w:eastAsia="en-AU"/>
    </w:rPr>
  </w:style>
  <w:style w:type="paragraph" w:styleId="CommentSubject">
    <w:name w:val="annotation subject"/>
    <w:basedOn w:val="CommentText"/>
    <w:next w:val="CommentText"/>
    <w:link w:val="CommentSubjectChar"/>
    <w:rsid w:val="00CA49F7"/>
    <w:rPr>
      <w:b/>
      <w:bCs/>
    </w:rPr>
  </w:style>
  <w:style w:type="character" w:customStyle="1" w:styleId="CommentSubjectChar">
    <w:name w:val="Comment Subject Char"/>
    <w:basedOn w:val="CommentTextChar"/>
    <w:link w:val="CommentSubject"/>
    <w:rsid w:val="00CA49F7"/>
    <w:rPr>
      <w:rFonts w:ascii="Arial" w:hAnsi="Arial"/>
      <w:b/>
      <w:bCs/>
      <w:lang w:eastAsia="en-AU"/>
    </w:rPr>
  </w:style>
  <w:style w:type="paragraph" w:styleId="ListParagraph">
    <w:name w:val="List Paragraph"/>
    <w:basedOn w:val="Normal"/>
    <w:uiPriority w:val="72"/>
    <w:qFormat/>
    <w:rsid w:val="00197F61"/>
    <w:pPr>
      <w:ind w:left="720"/>
      <w:contextualSpacing/>
    </w:pPr>
  </w:style>
  <w:style w:type="paragraph" w:customStyle="1" w:styleId="Default">
    <w:name w:val="Default"/>
    <w:rsid w:val="00074B2F"/>
    <w:pPr>
      <w:autoSpaceDE w:val="0"/>
      <w:autoSpaceDN w:val="0"/>
      <w:adjustRightInd w:val="0"/>
    </w:pPr>
    <w:rPr>
      <w:rFonts w:ascii="Arial" w:hAnsi="Arial" w:cs="Arial"/>
      <w:color w:val="000000"/>
      <w:sz w:val="24"/>
      <w:szCs w:val="24"/>
      <w:lang w:eastAsia="en-AU"/>
    </w:rPr>
  </w:style>
  <w:style w:type="paragraph" w:styleId="FootnoteText">
    <w:name w:val="footnote text"/>
    <w:basedOn w:val="Normal"/>
    <w:link w:val="FootnoteTextChar"/>
    <w:rsid w:val="00074B2F"/>
    <w:pPr>
      <w:spacing w:after="240"/>
    </w:pPr>
    <w:rPr>
      <w:sz w:val="20"/>
      <w:szCs w:val="20"/>
    </w:rPr>
  </w:style>
  <w:style w:type="character" w:customStyle="1" w:styleId="FootnoteTextChar">
    <w:name w:val="Footnote Text Char"/>
    <w:basedOn w:val="DefaultParagraphFont"/>
    <w:link w:val="FootnoteText"/>
    <w:rsid w:val="00074B2F"/>
    <w:rPr>
      <w:rFonts w:ascii="Arial" w:hAnsi="Arial"/>
      <w:lang w:eastAsia="en-AU"/>
    </w:rPr>
  </w:style>
  <w:style w:type="character" w:customStyle="1" w:styleId="FooterChar">
    <w:name w:val="Footer Char"/>
    <w:basedOn w:val="DefaultParagraphFont"/>
    <w:link w:val="Footer"/>
    <w:uiPriority w:val="99"/>
    <w:rsid w:val="00074B2F"/>
    <w:rPr>
      <w:rFonts w:ascii="Arial" w:hAnsi="Arial"/>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sdsatsip.qld.gov.au/our-work/human-services-quality-framework" TargetMode="External"/><Relationship Id="rId18" Type="http://schemas.openxmlformats.org/officeDocument/2006/relationships/hyperlink" Target="https://www.oic.qld.gov.au/guidelines/for-government/guidelines-privacy-principles/privacy-compliance/privacy-breach-management-and-notific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yber.gov.au/acsc/view-all-content/ism" TargetMode="External"/><Relationship Id="rId7" Type="http://schemas.openxmlformats.org/officeDocument/2006/relationships/endnotes" Target="endnotes.xml"/><Relationship Id="rId12" Type="http://schemas.openxmlformats.org/officeDocument/2006/relationships/hyperlink" Target="https://www.legislation.qld.gov.au/view/html/inforce/current/act-2009-014" TargetMode="External"/><Relationship Id="rId17" Type="http://schemas.openxmlformats.org/officeDocument/2006/relationships/hyperlink" Target="https://www.legislation.qld.gov.au/view/pdf/inforce/current/act-2006-0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ic.qld.gov.au/guidelines/for-government/guidelines-privacy-principles/transferring-personal-information-out-of-australia/sending-personal-information-out-of-australia" TargetMode="External"/><Relationship Id="rId20" Type="http://schemas.openxmlformats.org/officeDocument/2006/relationships/hyperlink" Target="https://www.oic.qld.gov.au/guidelines/for-government/guidelines-privacy-principles/privacy-complaints/what-to-expect-when-oic-receives-a-privacy-complaint-a-guide-for-agen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aic.gov.au/privacy/australian-privacy-principles-guidelines/chapter-1-app-1-open-and-transparent-management-of-personal-information/"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oic.qld.gov.au/guidelines/for-government/guidelines-privacy-principles/privacy-complai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mmunities.qld.gov.au/resources/dcdss/industry-partners/funding-grants/hsqf/standards.pdf" TargetMode="External"/><Relationship Id="rId22" Type="http://schemas.openxmlformats.org/officeDocument/2006/relationships/hyperlink" Target="https://www.legislation.qld.gov.au/view/whole/html/inforce/current/act-2009-01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9960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FSDSCS Fact Sheet portrait A4 blue</vt:lpstr>
    </vt:vector>
  </TitlesOfParts>
  <Manager>Department of Communities, Child Safety and Disability Services</Manager>
  <Company>Queensland Government</Company>
  <LinksUpToDate>false</LinksUpToDate>
  <CharactersWithSpaces>11532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FSDSCS Fact Sheet portrait A4 blue</dc:title>
  <dc:subject>FSDSCS  blue A4 portrait factsheet</dc:subject>
  <dc:creator>Queensland Government</dc:creator>
  <cp:keywords>fact sheet, template, A4, portrait, blue, 2 columns</cp:keywords>
  <dc:description/>
  <cp:lastModifiedBy>Julieanne J Larkin</cp:lastModifiedBy>
  <cp:revision>2</cp:revision>
  <dcterms:created xsi:type="dcterms:W3CDTF">2025-06-30T22:47:00Z</dcterms:created>
  <dcterms:modified xsi:type="dcterms:W3CDTF">2025-06-30T22:47:00Z</dcterms:modified>
  <cp:category>template</cp:category>
</cp:coreProperties>
</file>