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1BEC5F28" w:rsidR="00A72C57" w:rsidRDefault="00F04944" w:rsidP="00F24C19">
      <w:pPr>
        <w:pStyle w:val="Heading1"/>
      </w:pPr>
      <w:r>
        <w:t>Security obligations for contracted service providers (social services)</w:t>
      </w:r>
      <w:r w:rsidR="00A72C57" w:rsidRPr="004F191C">
        <w:t xml:space="preserve"> </w:t>
      </w:r>
    </w:p>
    <w:p w14:paraId="00D819BC" w14:textId="2D3F36AC" w:rsidR="00596AA7" w:rsidRPr="00596AA7" w:rsidRDefault="00596AA7" w:rsidP="00596AA7">
      <w:pPr>
        <w:sectPr w:rsidR="00596AA7" w:rsidRPr="00596AA7" w:rsidSect="00A25B76">
          <w:headerReference w:type="default" r:id="rId8"/>
          <w:footerReference w:type="default" r:id="rId9"/>
          <w:headerReference w:type="first" r:id="rId10"/>
          <w:footerReference w:type="first" r:id="rId11"/>
          <w:pgSz w:w="11906" w:h="16838" w:code="9"/>
          <w:pgMar w:top="1843" w:right="1134" w:bottom="1418" w:left="1134" w:header="709" w:footer="709" w:gutter="0"/>
          <w:cols w:space="709"/>
          <w:titlePg/>
          <w:docGrid w:linePitch="360"/>
        </w:sectPr>
      </w:pPr>
    </w:p>
    <w:p w14:paraId="7D5FE33C" w14:textId="25404308" w:rsidR="00A72C57" w:rsidRDefault="00F04944" w:rsidP="00A25B76">
      <w:pPr>
        <w:pStyle w:val="Heading2"/>
        <w:spacing w:before="120"/>
      </w:pPr>
      <w:r>
        <w:t xml:space="preserve">Introduction </w:t>
      </w:r>
    </w:p>
    <w:p w14:paraId="5635C0BE" w14:textId="405A627A" w:rsidR="00A25B76" w:rsidRDefault="00F04944" w:rsidP="00F04944">
      <w:pPr>
        <w:pStyle w:val="Default"/>
        <w:spacing w:after="120"/>
        <w:rPr>
          <w:sz w:val="22"/>
          <w:szCs w:val="22"/>
        </w:rPr>
      </w:pPr>
      <w:r w:rsidRPr="00D838C4">
        <w:rPr>
          <w:sz w:val="22"/>
          <w:szCs w:val="22"/>
        </w:rPr>
        <w:t xml:space="preserve">The Department of </w:t>
      </w:r>
      <w:r w:rsidR="00510795">
        <w:rPr>
          <w:sz w:val="22"/>
          <w:szCs w:val="22"/>
        </w:rPr>
        <w:t>Families, Seniors,</w:t>
      </w:r>
      <w:r w:rsidR="00510795" w:rsidRPr="00D838C4">
        <w:rPr>
          <w:sz w:val="22"/>
          <w:szCs w:val="22"/>
        </w:rPr>
        <w:t xml:space="preserve"> </w:t>
      </w:r>
      <w:r w:rsidR="00510795">
        <w:rPr>
          <w:sz w:val="22"/>
          <w:szCs w:val="22"/>
        </w:rPr>
        <w:t xml:space="preserve">Disability Services and </w:t>
      </w:r>
      <w:r w:rsidR="00510795" w:rsidRPr="00D838C4">
        <w:rPr>
          <w:sz w:val="22"/>
          <w:szCs w:val="22"/>
        </w:rPr>
        <w:t>Child</w:t>
      </w:r>
      <w:r w:rsidR="00510795">
        <w:rPr>
          <w:sz w:val="22"/>
          <w:szCs w:val="22"/>
        </w:rPr>
        <w:t xml:space="preserve"> Safety</w:t>
      </w:r>
      <w:r>
        <w:rPr>
          <w:sz w:val="22"/>
          <w:szCs w:val="22"/>
        </w:rPr>
        <w:t xml:space="preserve"> </w:t>
      </w:r>
      <w:r w:rsidRPr="00D838C4">
        <w:rPr>
          <w:sz w:val="22"/>
          <w:szCs w:val="22"/>
        </w:rPr>
        <w:t>(</w:t>
      </w:r>
      <w:r w:rsidRPr="004D2EA8">
        <w:rPr>
          <w:b/>
          <w:bCs/>
          <w:sz w:val="22"/>
          <w:szCs w:val="22"/>
        </w:rPr>
        <w:t>the department</w:t>
      </w:r>
      <w:r w:rsidRPr="00D838C4">
        <w:rPr>
          <w:sz w:val="22"/>
          <w:szCs w:val="22"/>
        </w:rPr>
        <w:t>) partners with contracted service providers (</w:t>
      </w:r>
      <w:r w:rsidRPr="004D2EA8">
        <w:rPr>
          <w:b/>
          <w:bCs/>
          <w:sz w:val="22"/>
          <w:szCs w:val="22"/>
        </w:rPr>
        <w:t>CSP</w:t>
      </w:r>
      <w:r w:rsidRPr="00D838C4">
        <w:rPr>
          <w:sz w:val="22"/>
          <w:szCs w:val="22"/>
        </w:rPr>
        <w:t xml:space="preserve">) to deliver services. </w:t>
      </w:r>
    </w:p>
    <w:p w14:paraId="7D2C782C" w14:textId="5E49953A" w:rsidR="00F04944" w:rsidRPr="00D838C4" w:rsidRDefault="00F04944" w:rsidP="00F04944">
      <w:pPr>
        <w:pStyle w:val="Default"/>
        <w:spacing w:after="120"/>
        <w:rPr>
          <w:sz w:val="22"/>
          <w:szCs w:val="22"/>
        </w:rPr>
      </w:pPr>
      <w:r w:rsidRPr="00D838C4">
        <w:rPr>
          <w:sz w:val="22"/>
          <w:szCs w:val="22"/>
        </w:rPr>
        <w:t>The</w:t>
      </w:r>
      <w:r>
        <w:rPr>
          <w:sz w:val="22"/>
          <w:szCs w:val="22"/>
        </w:rPr>
        <w:t xml:space="preserve"> </w:t>
      </w:r>
      <w:hyperlink r:id="rId12" w:history="1">
        <w:r w:rsidRPr="004132B6">
          <w:rPr>
            <w:rStyle w:val="Hyperlink"/>
            <w:i/>
            <w:sz w:val="22"/>
            <w:szCs w:val="22"/>
          </w:rPr>
          <w:t>Service Agreement - Standard Terms</w:t>
        </w:r>
        <w:r w:rsidRPr="004132B6">
          <w:rPr>
            <w:rStyle w:val="Hyperlink"/>
            <w:sz w:val="22"/>
            <w:szCs w:val="22"/>
          </w:rPr>
          <w:t xml:space="preserve"> (social services)</w:t>
        </w:r>
      </w:hyperlink>
      <w:r>
        <w:rPr>
          <w:sz w:val="22"/>
          <w:szCs w:val="22"/>
        </w:rPr>
        <w:t xml:space="preserve"> </w:t>
      </w:r>
      <w:r w:rsidRPr="00D838C4">
        <w:rPr>
          <w:sz w:val="22"/>
          <w:szCs w:val="22"/>
        </w:rPr>
        <w:t xml:space="preserve">creates obligations in relation to information privacy, confidentiality, record-keeping, and information security. </w:t>
      </w:r>
    </w:p>
    <w:p w14:paraId="75B7F7A7" w14:textId="50F865CB" w:rsidR="00A25B76" w:rsidRDefault="00F04944" w:rsidP="00F04944">
      <w:pPr>
        <w:pStyle w:val="Default"/>
        <w:spacing w:after="120"/>
        <w:rPr>
          <w:sz w:val="22"/>
          <w:szCs w:val="22"/>
        </w:rPr>
      </w:pPr>
      <w:r w:rsidRPr="00D838C4">
        <w:rPr>
          <w:sz w:val="22"/>
          <w:szCs w:val="22"/>
        </w:rPr>
        <w:t xml:space="preserve">Clause 18 </w:t>
      </w:r>
      <w:bookmarkStart w:id="0" w:name="_Hlk193190095"/>
      <w:r w:rsidR="00A25B76" w:rsidRPr="00D838C4">
        <w:rPr>
          <w:sz w:val="22"/>
          <w:szCs w:val="22"/>
        </w:rPr>
        <w:t xml:space="preserve">of the Service Agreement </w:t>
      </w:r>
      <w:bookmarkEnd w:id="0"/>
      <w:r w:rsidRPr="00D838C4">
        <w:rPr>
          <w:sz w:val="22"/>
          <w:szCs w:val="22"/>
        </w:rPr>
        <w:t xml:space="preserve">requires </w:t>
      </w:r>
      <w:r>
        <w:rPr>
          <w:sz w:val="22"/>
          <w:szCs w:val="22"/>
        </w:rPr>
        <w:t>CSP</w:t>
      </w:r>
      <w:r w:rsidRPr="00D838C4">
        <w:rPr>
          <w:sz w:val="22"/>
          <w:szCs w:val="22"/>
        </w:rPr>
        <w:t xml:space="preserve">s to comply with </w:t>
      </w:r>
      <w:r w:rsidR="009218D4">
        <w:rPr>
          <w:sz w:val="22"/>
          <w:szCs w:val="22"/>
        </w:rPr>
        <w:t xml:space="preserve">relevant </w:t>
      </w:r>
      <w:r w:rsidR="00B95C8F">
        <w:rPr>
          <w:sz w:val="22"/>
          <w:szCs w:val="22"/>
        </w:rPr>
        <w:t xml:space="preserve">parts of </w:t>
      </w:r>
      <w:r w:rsidRPr="00D838C4">
        <w:rPr>
          <w:sz w:val="22"/>
          <w:szCs w:val="22"/>
        </w:rPr>
        <w:t xml:space="preserve">the </w:t>
      </w:r>
      <w:r w:rsidRPr="00D838C4">
        <w:rPr>
          <w:i/>
          <w:sz w:val="22"/>
          <w:szCs w:val="22"/>
        </w:rPr>
        <w:t>Information Privacy Act 2009</w:t>
      </w:r>
      <w:r>
        <w:rPr>
          <w:i/>
          <w:sz w:val="22"/>
          <w:szCs w:val="22"/>
        </w:rPr>
        <w:t xml:space="preserve"> </w:t>
      </w:r>
      <w:r>
        <w:rPr>
          <w:iCs/>
          <w:sz w:val="22"/>
          <w:szCs w:val="22"/>
        </w:rPr>
        <w:t>(</w:t>
      </w:r>
      <w:r w:rsidRPr="004D2EA8">
        <w:rPr>
          <w:b/>
          <w:bCs/>
          <w:iCs/>
          <w:sz w:val="22"/>
          <w:szCs w:val="22"/>
        </w:rPr>
        <w:t>IP Act</w:t>
      </w:r>
      <w:r>
        <w:rPr>
          <w:iCs/>
          <w:sz w:val="22"/>
          <w:szCs w:val="22"/>
        </w:rPr>
        <w:t>)</w:t>
      </w:r>
      <w:r w:rsidRPr="00F35227">
        <w:rPr>
          <w:iCs/>
          <w:sz w:val="22"/>
          <w:szCs w:val="22"/>
        </w:rPr>
        <w:t>.</w:t>
      </w:r>
      <w:r w:rsidR="009218D4">
        <w:rPr>
          <w:iCs/>
          <w:sz w:val="22"/>
          <w:szCs w:val="22"/>
        </w:rPr>
        <w:t xml:space="preserve"> </w:t>
      </w:r>
    </w:p>
    <w:p w14:paraId="453B1F72" w14:textId="77777777" w:rsidR="009218D4" w:rsidRDefault="00F04944" w:rsidP="00F04944">
      <w:pPr>
        <w:pStyle w:val="Default"/>
        <w:spacing w:after="120"/>
        <w:rPr>
          <w:sz w:val="22"/>
          <w:szCs w:val="22"/>
        </w:rPr>
      </w:pPr>
      <w:r>
        <w:rPr>
          <w:sz w:val="22"/>
          <w:szCs w:val="22"/>
        </w:rPr>
        <w:t>This</w:t>
      </w:r>
      <w:r w:rsidRPr="00D838C4">
        <w:rPr>
          <w:sz w:val="22"/>
          <w:szCs w:val="22"/>
        </w:rPr>
        <w:t xml:space="preserve"> </w:t>
      </w:r>
      <w:r w:rsidR="009218D4">
        <w:rPr>
          <w:sz w:val="22"/>
          <w:szCs w:val="22"/>
        </w:rPr>
        <w:t xml:space="preserve">will </w:t>
      </w:r>
      <w:r w:rsidRPr="00D838C4">
        <w:rPr>
          <w:sz w:val="22"/>
          <w:szCs w:val="22"/>
        </w:rPr>
        <w:t xml:space="preserve">include </w:t>
      </w:r>
      <w:r w:rsidR="00A25B76">
        <w:rPr>
          <w:sz w:val="22"/>
          <w:szCs w:val="22"/>
        </w:rPr>
        <w:t>an</w:t>
      </w:r>
      <w:r w:rsidRPr="00D838C4">
        <w:rPr>
          <w:sz w:val="22"/>
          <w:szCs w:val="22"/>
        </w:rPr>
        <w:t xml:space="preserve"> obligation to</w:t>
      </w:r>
      <w:r w:rsidR="009218D4">
        <w:rPr>
          <w:sz w:val="22"/>
          <w:szCs w:val="22"/>
        </w:rPr>
        <w:t xml:space="preserve"> either:</w:t>
      </w:r>
    </w:p>
    <w:p w14:paraId="4C9C3DEC" w14:textId="32A0C9B3" w:rsidR="00437F02" w:rsidRDefault="00F04944" w:rsidP="009218D4">
      <w:pPr>
        <w:pStyle w:val="Default"/>
        <w:numPr>
          <w:ilvl w:val="0"/>
          <w:numId w:val="15"/>
        </w:numPr>
        <w:spacing w:after="120"/>
        <w:ind w:left="426"/>
        <w:rPr>
          <w:sz w:val="22"/>
          <w:szCs w:val="22"/>
        </w:rPr>
      </w:pPr>
      <w:r w:rsidRPr="00D838C4">
        <w:rPr>
          <w:sz w:val="22"/>
          <w:szCs w:val="22"/>
        </w:rPr>
        <w:t>ensure that documents containing personal information are protected against loss, unauthorised access, use, modification or disclosure, and any ot</w:t>
      </w:r>
      <w:r w:rsidRPr="004132B6">
        <w:rPr>
          <w:sz w:val="22"/>
          <w:szCs w:val="22"/>
        </w:rPr>
        <w:t>her misuse (</w:t>
      </w:r>
      <w:r w:rsidRPr="002D07B0">
        <w:rPr>
          <w:sz w:val="22"/>
          <w:szCs w:val="22"/>
        </w:rPr>
        <w:t>Information Privacy Principle 4 – Storage and security of personal information</w:t>
      </w:r>
      <w:bookmarkStart w:id="1" w:name="_Hlk193111590"/>
      <w:r w:rsidR="00437F02">
        <w:rPr>
          <w:sz w:val="22"/>
          <w:szCs w:val="22"/>
        </w:rPr>
        <w:t>)</w:t>
      </w:r>
      <w:r w:rsidR="009218D4">
        <w:rPr>
          <w:sz w:val="22"/>
          <w:szCs w:val="22"/>
        </w:rPr>
        <w:t>, or</w:t>
      </w:r>
    </w:p>
    <w:p w14:paraId="71F48D2A" w14:textId="4DD87F24" w:rsidR="009218D4" w:rsidRDefault="009218D4" w:rsidP="009218D4">
      <w:pPr>
        <w:pStyle w:val="Default"/>
        <w:numPr>
          <w:ilvl w:val="0"/>
          <w:numId w:val="15"/>
        </w:numPr>
        <w:spacing w:after="120"/>
        <w:ind w:left="426"/>
        <w:rPr>
          <w:sz w:val="22"/>
          <w:szCs w:val="22"/>
        </w:rPr>
      </w:pPr>
      <w:r w:rsidRPr="00D838C4">
        <w:rPr>
          <w:sz w:val="22"/>
          <w:szCs w:val="22"/>
        </w:rPr>
        <w:t>to ensure that documents containing personal information are protected against</w:t>
      </w:r>
      <w:r>
        <w:rPr>
          <w:sz w:val="22"/>
          <w:szCs w:val="22"/>
        </w:rPr>
        <w:t xml:space="preserve"> misuse, interference or</w:t>
      </w:r>
      <w:r w:rsidRPr="00D838C4">
        <w:rPr>
          <w:sz w:val="22"/>
          <w:szCs w:val="22"/>
        </w:rPr>
        <w:t xml:space="preserve"> loss, </w:t>
      </w:r>
      <w:r>
        <w:rPr>
          <w:sz w:val="22"/>
          <w:szCs w:val="22"/>
        </w:rPr>
        <w:t xml:space="preserve">and from </w:t>
      </w:r>
      <w:r w:rsidRPr="00D838C4">
        <w:rPr>
          <w:sz w:val="22"/>
          <w:szCs w:val="22"/>
        </w:rPr>
        <w:t>unauthorised access, modification or disclosure</w:t>
      </w:r>
      <w:r>
        <w:rPr>
          <w:sz w:val="22"/>
          <w:szCs w:val="22"/>
        </w:rPr>
        <w:t xml:space="preserve"> (Queensland Privacy Principle 11 – Security of personal information).</w:t>
      </w:r>
    </w:p>
    <w:p w14:paraId="7C5049AF" w14:textId="203C83E2" w:rsidR="00F04944" w:rsidRPr="00D838C4" w:rsidRDefault="00A25B76" w:rsidP="00F04944">
      <w:pPr>
        <w:pStyle w:val="Default"/>
        <w:spacing w:after="120"/>
        <w:rPr>
          <w:sz w:val="22"/>
          <w:szCs w:val="22"/>
        </w:rPr>
      </w:pPr>
      <w:r>
        <w:rPr>
          <w:sz w:val="22"/>
          <w:szCs w:val="22"/>
        </w:rPr>
        <w:t>C</w:t>
      </w:r>
      <w:r w:rsidR="00F04944" w:rsidRPr="00D838C4">
        <w:rPr>
          <w:sz w:val="22"/>
          <w:szCs w:val="22"/>
        </w:rPr>
        <w:t xml:space="preserve">lause 18 </w:t>
      </w:r>
      <w:r>
        <w:rPr>
          <w:sz w:val="22"/>
          <w:szCs w:val="22"/>
        </w:rPr>
        <w:t xml:space="preserve">also requires you to comply with other privacy and security measures we reasonably notify you about. </w:t>
      </w:r>
      <w:r w:rsidR="00F04944" w:rsidRPr="00D838C4">
        <w:rPr>
          <w:sz w:val="22"/>
          <w:szCs w:val="22"/>
        </w:rPr>
        <w:t xml:space="preserve"> </w:t>
      </w:r>
    </w:p>
    <w:bookmarkEnd w:id="1"/>
    <w:p w14:paraId="224F7E59" w14:textId="77777777" w:rsidR="00F04944" w:rsidRDefault="00F04944" w:rsidP="00A25B76">
      <w:pPr>
        <w:pStyle w:val="Heading2"/>
        <w:spacing w:after="120"/>
      </w:pPr>
      <w:r>
        <w:t>What security standards?</w:t>
      </w:r>
    </w:p>
    <w:p w14:paraId="1E4EEE21" w14:textId="77777777" w:rsidR="00F04944" w:rsidRPr="00D838C4" w:rsidRDefault="00F04944" w:rsidP="00F04944">
      <w:pPr>
        <w:spacing w:after="0"/>
        <w:rPr>
          <w:rFonts w:cs="Arial"/>
        </w:rPr>
      </w:pPr>
      <w:r w:rsidRPr="00D838C4">
        <w:rPr>
          <w:rFonts w:cs="Arial"/>
        </w:rPr>
        <w:t>The department is required to comply with Information Standard 18 (</w:t>
      </w:r>
      <w:hyperlink r:id="rId13" w:history="1">
        <w:r w:rsidRPr="00C85F99">
          <w:rPr>
            <w:rStyle w:val="Hyperlink"/>
            <w:rFonts w:cs="Arial"/>
          </w:rPr>
          <w:t>IS 18:2018</w:t>
        </w:r>
      </w:hyperlink>
      <w:r w:rsidRPr="00D838C4">
        <w:rPr>
          <w:rFonts w:cs="Arial"/>
        </w:rPr>
        <w:t xml:space="preserve">) and </w:t>
      </w:r>
      <w:hyperlink r:id="rId14" w:history="1">
        <w:r w:rsidRPr="004132B6">
          <w:rPr>
            <w:rStyle w:val="Hyperlink"/>
            <w:rFonts w:cs="Arial"/>
          </w:rPr>
          <w:t>ISO 27001</w:t>
        </w:r>
      </w:hyperlink>
      <w:r w:rsidRPr="004132B6">
        <w:rPr>
          <w:rFonts w:cs="Arial"/>
        </w:rPr>
        <w:t xml:space="preserve"> and exp</w:t>
      </w:r>
      <w:r w:rsidRPr="00D838C4">
        <w:rPr>
          <w:rFonts w:cs="Arial"/>
        </w:rPr>
        <w:t xml:space="preserve">ects that </w:t>
      </w:r>
      <w:r>
        <w:rPr>
          <w:rFonts w:cs="Arial"/>
        </w:rPr>
        <w:t>CSP</w:t>
      </w:r>
      <w:r w:rsidRPr="00D838C4">
        <w:rPr>
          <w:rFonts w:cs="Arial"/>
        </w:rPr>
        <w:t xml:space="preserve">s will provide an equivalent level of security in relation to the personal and confidential information they handle. </w:t>
      </w:r>
    </w:p>
    <w:p w14:paraId="5512268D" w14:textId="77777777" w:rsidR="00F04944" w:rsidRPr="00D838C4" w:rsidRDefault="00F04944" w:rsidP="00F04944">
      <w:pPr>
        <w:spacing w:after="0"/>
        <w:rPr>
          <w:rFonts w:cs="Arial"/>
        </w:rPr>
      </w:pPr>
    </w:p>
    <w:p w14:paraId="570E0851" w14:textId="77777777" w:rsidR="009218D4" w:rsidRDefault="009218D4" w:rsidP="00A25B76">
      <w:pPr>
        <w:rPr>
          <w:rFonts w:cs="Arial"/>
          <w:b/>
          <w:color w:val="2C6969" w:themeColor="accent5" w:themeShade="80"/>
          <w:sz w:val="32"/>
          <w:szCs w:val="32"/>
        </w:rPr>
      </w:pPr>
    </w:p>
    <w:p w14:paraId="345DE2C3" w14:textId="6F8832B4" w:rsidR="00F04944" w:rsidRPr="00F04944" w:rsidRDefault="00F04944" w:rsidP="00A25B76">
      <w:pPr>
        <w:rPr>
          <w:rFonts w:cs="Arial"/>
          <w:b/>
          <w:color w:val="2C6969" w:themeColor="accent5" w:themeShade="80"/>
          <w:sz w:val="32"/>
          <w:szCs w:val="32"/>
        </w:rPr>
      </w:pPr>
      <w:r w:rsidRPr="00F04944">
        <w:rPr>
          <w:rFonts w:cs="Arial"/>
          <w:b/>
          <w:color w:val="2C6969" w:themeColor="accent5" w:themeShade="80"/>
          <w:sz w:val="32"/>
          <w:szCs w:val="32"/>
        </w:rPr>
        <w:t>Resources</w:t>
      </w:r>
    </w:p>
    <w:p w14:paraId="10D13021" w14:textId="19BE839D" w:rsidR="00F04944" w:rsidRPr="00D838C4" w:rsidRDefault="00F04944" w:rsidP="00F04944">
      <w:pPr>
        <w:rPr>
          <w:rFonts w:cs="Arial"/>
          <w:i/>
          <w:u w:val="single"/>
        </w:rPr>
      </w:pPr>
      <w:r w:rsidRPr="00D838C4">
        <w:rPr>
          <w:rFonts w:cs="Arial"/>
        </w:rPr>
        <w:t>Guidance about meet</w:t>
      </w:r>
      <w:r w:rsidR="00A25B76">
        <w:rPr>
          <w:rFonts w:cs="Arial"/>
        </w:rPr>
        <w:t>ing</w:t>
      </w:r>
      <w:r w:rsidRPr="00D838C4">
        <w:rPr>
          <w:rFonts w:cs="Arial"/>
        </w:rPr>
        <w:t xml:space="preserve"> these obligations is available from many sources, including:</w:t>
      </w:r>
      <w:r w:rsidRPr="00D838C4">
        <w:rPr>
          <w:rFonts w:cs="Arial"/>
          <w:i/>
          <w:u w:val="single"/>
        </w:rPr>
        <w:t xml:space="preserve"> </w:t>
      </w:r>
    </w:p>
    <w:p w14:paraId="28FD38B7" w14:textId="77777777" w:rsidR="00510795" w:rsidRPr="004D2EA8" w:rsidRDefault="00510795" w:rsidP="00510795">
      <w:pPr>
        <w:pStyle w:val="Heading2"/>
        <w:numPr>
          <w:ilvl w:val="0"/>
          <w:numId w:val="14"/>
        </w:numPr>
        <w:spacing w:after="120"/>
        <w:ind w:left="426"/>
        <w:rPr>
          <w:color w:val="auto"/>
          <w:sz w:val="24"/>
          <w:szCs w:val="24"/>
          <w:u w:val="single"/>
        </w:rPr>
      </w:pPr>
      <w:r w:rsidRPr="004D2EA8">
        <w:rPr>
          <w:color w:val="auto"/>
          <w:sz w:val="24"/>
          <w:szCs w:val="24"/>
        </w:rPr>
        <w:t xml:space="preserve">Australian Cyber Security Centre </w:t>
      </w:r>
    </w:p>
    <w:p w14:paraId="04861E77" w14:textId="46044FB4" w:rsidR="00F04944" w:rsidRDefault="00F04944" w:rsidP="00F04944">
      <w:pPr>
        <w:rPr>
          <w:rFonts w:cs="Arial"/>
        </w:rPr>
      </w:pPr>
      <w:r w:rsidRPr="00D838C4">
        <w:rPr>
          <w:rFonts w:cs="Arial"/>
        </w:rPr>
        <w:t>The</w:t>
      </w:r>
      <w:r>
        <w:rPr>
          <w:rFonts w:cs="Arial"/>
        </w:rPr>
        <w:t xml:space="preserve"> </w:t>
      </w:r>
      <w:hyperlink r:id="rId15" w:history="1">
        <w:r w:rsidRPr="004132B6">
          <w:rPr>
            <w:rStyle w:val="Hyperlink"/>
            <w:rFonts w:cs="Arial"/>
          </w:rPr>
          <w:t>Australian Cyber Security Centre</w:t>
        </w:r>
      </w:hyperlink>
      <w:r w:rsidRPr="00D838C4">
        <w:rPr>
          <w:rFonts w:cs="Arial"/>
        </w:rPr>
        <w:t xml:space="preserve"> (</w:t>
      </w:r>
      <w:r w:rsidRPr="00A56C63">
        <w:rPr>
          <w:rFonts w:cs="Arial"/>
          <w:b/>
          <w:bCs/>
        </w:rPr>
        <w:t>ACSC</w:t>
      </w:r>
      <w:r w:rsidRPr="00D838C4">
        <w:rPr>
          <w:rFonts w:cs="Arial"/>
        </w:rPr>
        <w:t xml:space="preserve">) within the </w:t>
      </w:r>
      <w:hyperlink r:id="rId16" w:history="1">
        <w:r w:rsidRPr="004132B6">
          <w:rPr>
            <w:rStyle w:val="Hyperlink"/>
            <w:rFonts w:cs="Arial"/>
          </w:rPr>
          <w:t>Australian Signals Directorate</w:t>
        </w:r>
      </w:hyperlink>
      <w:r w:rsidRPr="004132B6">
        <w:rPr>
          <w:rFonts w:cs="Arial"/>
        </w:rPr>
        <w:t xml:space="preserve"> (</w:t>
      </w:r>
      <w:r w:rsidRPr="00A56C63">
        <w:rPr>
          <w:rFonts w:cs="Arial"/>
          <w:b/>
          <w:bCs/>
        </w:rPr>
        <w:t>ASD</w:t>
      </w:r>
      <w:r w:rsidRPr="004132B6">
        <w:rPr>
          <w:rFonts w:cs="Arial"/>
        </w:rPr>
        <w:t>) provides advice to individuals, small and m</w:t>
      </w:r>
      <w:r w:rsidRPr="00D838C4">
        <w:rPr>
          <w:rFonts w:cs="Arial"/>
        </w:rPr>
        <w:t xml:space="preserve">edium organisations, large enterprises and government about how to protect your business online. </w:t>
      </w:r>
    </w:p>
    <w:p w14:paraId="71BA7DB9" w14:textId="4D5B7FF3" w:rsidR="00F04944" w:rsidRPr="00D838C4" w:rsidRDefault="00F04944" w:rsidP="00A25B76">
      <w:pPr>
        <w:rPr>
          <w:rFonts w:cs="Arial"/>
        </w:rPr>
      </w:pPr>
      <w:r w:rsidRPr="00D838C4">
        <w:rPr>
          <w:rFonts w:cs="Arial"/>
        </w:rPr>
        <w:t xml:space="preserve">This guidance includes strategies about how to prevent and respond to cyber incidents, ensure appropriate levels of education and awareness for your workforce, managing supply chain risks, and communicating the importance of good cyber security to executives and customers. </w:t>
      </w:r>
      <w:r w:rsidR="00A25B76">
        <w:rPr>
          <w:rFonts w:cs="Arial"/>
        </w:rPr>
        <w:t>See, f</w:t>
      </w:r>
      <w:r w:rsidRPr="00D838C4">
        <w:rPr>
          <w:rFonts w:cs="Arial"/>
        </w:rPr>
        <w:t>or example:</w:t>
      </w:r>
    </w:p>
    <w:p w14:paraId="7A79F88D" w14:textId="6B0B102B" w:rsidR="00F04944" w:rsidRPr="00510795" w:rsidRDefault="007F7E07" w:rsidP="00510795">
      <w:pPr>
        <w:pStyle w:val="ListParagraph"/>
        <w:numPr>
          <w:ilvl w:val="0"/>
          <w:numId w:val="13"/>
        </w:numPr>
        <w:spacing w:after="120" w:line="259" w:lineRule="auto"/>
        <w:ind w:left="426"/>
        <w:rPr>
          <w:rFonts w:cs="Arial"/>
        </w:rPr>
      </w:pPr>
      <w:hyperlink r:id="rId17" w:history="1">
        <w:r w:rsidR="00F04944" w:rsidRPr="004132B6">
          <w:rPr>
            <w:rStyle w:val="Hyperlink"/>
            <w:rFonts w:cs="Arial"/>
            <w:i/>
          </w:rPr>
          <w:t>The Essential Eight (baseline mitigation strategies)</w:t>
        </w:r>
      </w:hyperlink>
      <w:r w:rsidR="00F04944" w:rsidRPr="004132B6">
        <w:rPr>
          <w:rFonts w:cs="Arial"/>
          <w:i/>
        </w:rPr>
        <w:t xml:space="preserve"> </w:t>
      </w:r>
    </w:p>
    <w:p w14:paraId="625EA261" w14:textId="539A96B2" w:rsidR="00510795" w:rsidRPr="004D2EA8" w:rsidRDefault="00510795" w:rsidP="00510795">
      <w:pPr>
        <w:pStyle w:val="Heading2"/>
        <w:numPr>
          <w:ilvl w:val="0"/>
          <w:numId w:val="14"/>
        </w:numPr>
        <w:spacing w:after="120"/>
        <w:ind w:left="426"/>
        <w:rPr>
          <w:color w:val="auto"/>
          <w:sz w:val="24"/>
          <w:szCs w:val="24"/>
          <w:u w:val="single"/>
        </w:rPr>
      </w:pPr>
      <w:r w:rsidRPr="004D2EA8">
        <w:rPr>
          <w:color w:val="auto"/>
          <w:sz w:val="24"/>
          <w:szCs w:val="24"/>
        </w:rPr>
        <w:t xml:space="preserve">Office of the Information Commissioner </w:t>
      </w:r>
    </w:p>
    <w:p w14:paraId="4464A66F" w14:textId="77777777" w:rsidR="00F04944" w:rsidRDefault="00F04944" w:rsidP="00F04944">
      <w:pPr>
        <w:rPr>
          <w:rFonts w:cs="Arial"/>
        </w:rPr>
      </w:pPr>
      <w:r w:rsidRPr="00D838C4">
        <w:rPr>
          <w:rFonts w:cs="Arial"/>
        </w:rPr>
        <w:t xml:space="preserve">The Queensland </w:t>
      </w:r>
      <w:hyperlink r:id="rId18" w:history="1">
        <w:r w:rsidRPr="004132B6">
          <w:rPr>
            <w:rStyle w:val="Hyperlink"/>
            <w:rFonts w:cs="Arial"/>
          </w:rPr>
          <w:t>Office of the Information Commissioner</w:t>
        </w:r>
      </w:hyperlink>
      <w:r w:rsidRPr="004132B6">
        <w:rPr>
          <w:rFonts w:cs="Arial"/>
        </w:rPr>
        <w:t xml:space="preserve"> (</w:t>
      </w:r>
      <w:r w:rsidRPr="00A56C63">
        <w:rPr>
          <w:rFonts w:cs="Arial"/>
          <w:b/>
          <w:bCs/>
        </w:rPr>
        <w:t>OIC</w:t>
      </w:r>
      <w:r w:rsidRPr="00D838C4">
        <w:rPr>
          <w:rFonts w:cs="Arial"/>
        </w:rPr>
        <w:t xml:space="preserve">) is an independent statutory body whose functions include promoting information privacy in the community and within government. </w:t>
      </w:r>
    </w:p>
    <w:p w14:paraId="6451B8DA" w14:textId="77777777" w:rsidR="00F04944" w:rsidRPr="00D838C4" w:rsidRDefault="00F04944" w:rsidP="00F04944">
      <w:pPr>
        <w:rPr>
          <w:rFonts w:cs="Arial"/>
        </w:rPr>
      </w:pPr>
      <w:r w:rsidRPr="00D838C4">
        <w:rPr>
          <w:rFonts w:cs="Arial"/>
        </w:rPr>
        <w:t xml:space="preserve">The OIC provides a range of online services and information and resources to help community and government understand their rights and responsibilities under the IP Act. The OIC provides information and advice about privacy through their </w:t>
      </w:r>
      <w:hyperlink r:id="rId19" w:history="1">
        <w:r w:rsidRPr="004132B6">
          <w:rPr>
            <w:rStyle w:val="Hyperlink"/>
            <w:rFonts w:cs="Arial"/>
          </w:rPr>
          <w:t>enquiries service</w:t>
        </w:r>
      </w:hyperlink>
      <w:r w:rsidRPr="004132B6">
        <w:rPr>
          <w:rFonts w:cs="Arial"/>
        </w:rPr>
        <w:t xml:space="preserve"> an</w:t>
      </w:r>
      <w:r w:rsidRPr="00D838C4">
        <w:rPr>
          <w:rFonts w:cs="Arial"/>
        </w:rPr>
        <w:t xml:space="preserve">d </w:t>
      </w:r>
      <w:hyperlink r:id="rId20" w:history="1">
        <w:r w:rsidRPr="004132B6">
          <w:rPr>
            <w:rStyle w:val="Hyperlink"/>
            <w:rFonts w:cs="Arial"/>
          </w:rPr>
          <w:t>their website</w:t>
        </w:r>
      </w:hyperlink>
      <w:r w:rsidRPr="004132B6">
        <w:rPr>
          <w:rFonts w:cs="Arial"/>
        </w:rPr>
        <w:t>.</w:t>
      </w:r>
    </w:p>
    <w:p w14:paraId="2E2D7CCE" w14:textId="77777777" w:rsidR="00F04944" w:rsidRPr="004132B6" w:rsidRDefault="00F04944" w:rsidP="00F04944">
      <w:pPr>
        <w:spacing w:after="60"/>
        <w:rPr>
          <w:rFonts w:cs="Arial"/>
        </w:rPr>
      </w:pPr>
      <w:r w:rsidRPr="004132B6">
        <w:rPr>
          <w:rFonts w:cs="Arial"/>
        </w:rPr>
        <w:t xml:space="preserve">OIC publications about information security include: </w:t>
      </w:r>
    </w:p>
    <w:p w14:paraId="50789F95" w14:textId="77777777" w:rsidR="00F04944" w:rsidRDefault="007F7E07" w:rsidP="00F04944">
      <w:pPr>
        <w:pStyle w:val="ListParagraph"/>
        <w:numPr>
          <w:ilvl w:val="0"/>
          <w:numId w:val="11"/>
        </w:numPr>
        <w:spacing w:after="160" w:line="259" w:lineRule="auto"/>
        <w:ind w:left="284" w:hanging="284"/>
        <w:rPr>
          <w:rFonts w:cs="Arial"/>
        </w:rPr>
      </w:pPr>
      <w:hyperlink r:id="rId21" w:history="1">
        <w:r w:rsidR="00F04944" w:rsidRPr="00437F02">
          <w:rPr>
            <w:rStyle w:val="Hyperlink"/>
            <w:rFonts w:cs="Arial"/>
          </w:rPr>
          <w:t>Basic guide to IPP4</w:t>
        </w:r>
      </w:hyperlink>
      <w:r w:rsidR="00F04944" w:rsidRPr="00437F02">
        <w:rPr>
          <w:rFonts w:cs="Arial"/>
        </w:rPr>
        <w:t xml:space="preserve"> </w:t>
      </w:r>
    </w:p>
    <w:p w14:paraId="494F0DA7" w14:textId="0560B7BC" w:rsidR="009218D4" w:rsidRPr="00437F02" w:rsidRDefault="007F7E07" w:rsidP="00F04944">
      <w:pPr>
        <w:pStyle w:val="ListParagraph"/>
        <w:numPr>
          <w:ilvl w:val="0"/>
          <w:numId w:val="11"/>
        </w:numPr>
        <w:spacing w:after="160" w:line="259" w:lineRule="auto"/>
        <w:ind w:left="284" w:hanging="284"/>
        <w:rPr>
          <w:rFonts w:cs="Arial"/>
        </w:rPr>
      </w:pPr>
      <w:hyperlink r:id="rId22" w:history="1">
        <w:r w:rsidR="009218D4" w:rsidRPr="009218D4">
          <w:rPr>
            <w:rStyle w:val="Hyperlink"/>
            <w:rFonts w:cs="Arial"/>
          </w:rPr>
          <w:t>QPP 11 – Security, deidentification and destruction of personal information</w:t>
        </w:r>
      </w:hyperlink>
    </w:p>
    <w:p w14:paraId="47EFD880" w14:textId="77777777" w:rsidR="00437F02" w:rsidRPr="00437F02" w:rsidRDefault="007F7E07" w:rsidP="00F04944">
      <w:pPr>
        <w:pStyle w:val="ListParagraph"/>
        <w:numPr>
          <w:ilvl w:val="0"/>
          <w:numId w:val="11"/>
        </w:numPr>
        <w:spacing w:after="160" w:line="259" w:lineRule="auto"/>
        <w:ind w:left="284" w:hanging="284"/>
        <w:rPr>
          <w:rStyle w:val="Hyperlink"/>
          <w:rFonts w:cs="Arial"/>
          <w:color w:val="auto"/>
          <w:u w:val="none"/>
        </w:rPr>
      </w:pPr>
      <w:hyperlink r:id="rId23" w:history="1">
        <w:r w:rsidR="00437F02" w:rsidRPr="00437F02">
          <w:rPr>
            <w:rStyle w:val="Hyperlink"/>
            <w:rFonts w:cs="Arial"/>
          </w:rPr>
          <w:t>Security, accuracy and relevance</w:t>
        </w:r>
      </w:hyperlink>
    </w:p>
    <w:p w14:paraId="3E8EEAC0" w14:textId="69CBBBC8" w:rsidR="00F04944" w:rsidRPr="00437F02" w:rsidRDefault="007F7E07" w:rsidP="00F04944">
      <w:pPr>
        <w:pStyle w:val="ListParagraph"/>
        <w:numPr>
          <w:ilvl w:val="0"/>
          <w:numId w:val="11"/>
        </w:numPr>
        <w:spacing w:after="160" w:line="259" w:lineRule="auto"/>
        <w:ind w:left="284" w:hanging="284"/>
        <w:rPr>
          <w:rFonts w:cs="Arial"/>
        </w:rPr>
      </w:pPr>
      <w:hyperlink r:id="rId24" w:history="1">
        <w:r w:rsidR="00F04944" w:rsidRPr="00437F02">
          <w:rPr>
            <w:rStyle w:val="Hyperlink"/>
            <w:rFonts w:cs="Arial"/>
          </w:rPr>
          <w:t>Protection and security of personal information</w:t>
        </w:r>
      </w:hyperlink>
      <w:r w:rsidR="00F04944" w:rsidRPr="00437F02">
        <w:rPr>
          <w:rFonts w:cs="Arial"/>
        </w:rPr>
        <w:t xml:space="preserve"> </w:t>
      </w:r>
    </w:p>
    <w:bookmarkStart w:id="2" w:name="_Hlk193190237"/>
    <w:p w14:paraId="0BD09681" w14:textId="4BF71AA2" w:rsidR="00F04944" w:rsidRPr="00437F02" w:rsidRDefault="009218D4" w:rsidP="00F04944">
      <w:pPr>
        <w:pStyle w:val="ListParagraph"/>
        <w:numPr>
          <w:ilvl w:val="0"/>
          <w:numId w:val="11"/>
        </w:numPr>
        <w:spacing w:after="160" w:line="259" w:lineRule="auto"/>
        <w:ind w:left="284" w:hanging="284"/>
        <w:rPr>
          <w:rFonts w:cs="Arial"/>
        </w:rPr>
      </w:pPr>
      <w:r>
        <w:fldChar w:fldCharType="begin"/>
      </w:r>
      <w:r>
        <w:instrText>HYPERLINK "https://www.oic.qld.gov.au/guidelines/for-government/guidelines-privacy-principles/security,-accuracy-and-relevance/portable-storage-devices-and-information-privacy"</w:instrText>
      </w:r>
      <w:r>
        <w:fldChar w:fldCharType="separate"/>
      </w:r>
      <w:r w:rsidR="00F04944" w:rsidRPr="00437F02">
        <w:rPr>
          <w:rStyle w:val="Hyperlink"/>
          <w:rFonts w:cs="Arial"/>
        </w:rPr>
        <w:t>Portable storage devices and information privacy</w:t>
      </w:r>
      <w:r>
        <w:rPr>
          <w:rStyle w:val="Hyperlink"/>
          <w:rFonts w:cs="Arial"/>
        </w:rPr>
        <w:fldChar w:fldCharType="end"/>
      </w:r>
      <w:bookmarkEnd w:id="2"/>
      <w:r w:rsidR="00F04944" w:rsidRPr="00437F02">
        <w:rPr>
          <w:rFonts w:cs="Arial"/>
        </w:rPr>
        <w:t xml:space="preserve"> </w:t>
      </w:r>
    </w:p>
    <w:p w14:paraId="65E3AF9D" w14:textId="77777777" w:rsidR="00F04944" w:rsidRPr="00437F02" w:rsidRDefault="007F7E07" w:rsidP="00F04944">
      <w:pPr>
        <w:pStyle w:val="ListParagraph"/>
        <w:numPr>
          <w:ilvl w:val="0"/>
          <w:numId w:val="11"/>
        </w:numPr>
        <w:spacing w:after="160" w:line="259" w:lineRule="auto"/>
        <w:ind w:left="284" w:hanging="284"/>
        <w:rPr>
          <w:rFonts w:cs="Arial"/>
        </w:rPr>
      </w:pPr>
      <w:hyperlink r:id="rId25" w:history="1">
        <w:r w:rsidR="00F04944" w:rsidRPr="00437F02">
          <w:rPr>
            <w:rStyle w:val="Hyperlink"/>
            <w:rFonts w:cs="Arial"/>
          </w:rPr>
          <w:t>Cloud computing and the privacy principles</w:t>
        </w:r>
      </w:hyperlink>
      <w:r w:rsidR="00F04944" w:rsidRPr="00437F02">
        <w:rPr>
          <w:rFonts w:cs="Arial"/>
        </w:rPr>
        <w:t xml:space="preserve"> </w:t>
      </w:r>
    </w:p>
    <w:bookmarkStart w:id="3" w:name="_Hlk193190219"/>
    <w:p w14:paraId="6AD4FD8A" w14:textId="77777777" w:rsidR="00F04944" w:rsidRDefault="009218D4" w:rsidP="00F04944">
      <w:pPr>
        <w:pStyle w:val="ListParagraph"/>
        <w:numPr>
          <w:ilvl w:val="0"/>
          <w:numId w:val="11"/>
        </w:numPr>
        <w:spacing w:after="0" w:line="259" w:lineRule="auto"/>
        <w:ind w:left="284" w:hanging="284"/>
        <w:rPr>
          <w:rFonts w:cs="Arial"/>
        </w:rPr>
      </w:pPr>
      <w:r w:rsidRPr="00437F02">
        <w:fldChar w:fldCharType="begin"/>
      </w:r>
      <w:r w:rsidRPr="00437F02">
        <w:instrText>HYPERLINK "https://www.oic.qld.gov.au/guidelines/for-government/guidelines-privacy-principles/transferring-personal-information-out-of-australia/ip-addresses,-google-analytics-and-the-privacy-principles"</w:instrText>
      </w:r>
      <w:r w:rsidRPr="00437F02">
        <w:fldChar w:fldCharType="separate"/>
      </w:r>
      <w:r w:rsidR="00F04944" w:rsidRPr="00437F02">
        <w:rPr>
          <w:rStyle w:val="Hyperlink"/>
          <w:rFonts w:cs="Arial"/>
        </w:rPr>
        <w:t>IP addresses, Google Analytics and the privacy principles</w:t>
      </w:r>
      <w:r w:rsidRPr="00437F02">
        <w:rPr>
          <w:rStyle w:val="Hyperlink"/>
          <w:rFonts w:cs="Arial"/>
        </w:rPr>
        <w:fldChar w:fldCharType="end"/>
      </w:r>
      <w:r w:rsidR="00F04944" w:rsidRPr="00437F02">
        <w:rPr>
          <w:rFonts w:cs="Arial"/>
        </w:rPr>
        <w:t xml:space="preserve"> </w:t>
      </w:r>
      <w:bookmarkEnd w:id="3"/>
    </w:p>
    <w:p w14:paraId="4EA5D4FB" w14:textId="77777777" w:rsidR="009218D4" w:rsidRDefault="007F7E07" w:rsidP="009218D4">
      <w:pPr>
        <w:pStyle w:val="ListParagraph"/>
        <w:numPr>
          <w:ilvl w:val="0"/>
          <w:numId w:val="11"/>
        </w:numPr>
        <w:spacing w:after="160" w:line="259" w:lineRule="auto"/>
        <w:ind w:left="284" w:hanging="284"/>
        <w:rPr>
          <w:rFonts w:cs="Arial"/>
        </w:rPr>
      </w:pPr>
      <w:hyperlink r:id="rId26" w:history="1">
        <w:r w:rsidR="009218D4" w:rsidRPr="00437F02">
          <w:rPr>
            <w:rStyle w:val="Hyperlink"/>
            <w:rFonts w:cs="Arial"/>
          </w:rPr>
          <w:t>Achieving effective privacy and information security training</w:t>
        </w:r>
      </w:hyperlink>
      <w:r w:rsidR="009218D4" w:rsidRPr="00437F02">
        <w:rPr>
          <w:rFonts w:cs="Arial"/>
        </w:rPr>
        <w:t xml:space="preserve"> </w:t>
      </w:r>
    </w:p>
    <w:p w14:paraId="7CADED1C" w14:textId="77777777" w:rsidR="00B95C8F" w:rsidRPr="00B95C8F" w:rsidRDefault="00B95C8F" w:rsidP="00B95C8F">
      <w:pPr>
        <w:spacing w:after="0" w:line="259" w:lineRule="auto"/>
        <w:rPr>
          <w:rFonts w:cs="Arial"/>
        </w:rPr>
      </w:pPr>
    </w:p>
    <w:p w14:paraId="54AFC3B8" w14:textId="1F311962" w:rsidR="00F04944" w:rsidRPr="00AF6099" w:rsidRDefault="00F04944" w:rsidP="00F04944">
      <w:pPr>
        <w:pStyle w:val="ListParagraph"/>
        <w:numPr>
          <w:ilvl w:val="0"/>
          <w:numId w:val="14"/>
        </w:numPr>
        <w:spacing w:after="160" w:line="259" w:lineRule="auto"/>
        <w:ind w:left="284" w:hanging="284"/>
        <w:rPr>
          <w:rFonts w:cs="Arial"/>
          <w:b/>
          <w:bCs/>
          <w:iCs/>
          <w:sz w:val="24"/>
        </w:rPr>
      </w:pPr>
      <w:r w:rsidRPr="00AF6099">
        <w:rPr>
          <w:rFonts w:cs="Arial"/>
          <w:b/>
          <w:bCs/>
          <w:iCs/>
          <w:sz w:val="24"/>
        </w:rPr>
        <w:t xml:space="preserve">Office of the Australian Information Commissioner </w:t>
      </w:r>
    </w:p>
    <w:p w14:paraId="638CDB26" w14:textId="77777777" w:rsidR="00A25B76" w:rsidRDefault="00F04944" w:rsidP="00F04944">
      <w:pPr>
        <w:rPr>
          <w:rFonts w:cs="Arial"/>
        </w:rPr>
      </w:pPr>
      <w:r w:rsidRPr="00D838C4">
        <w:rPr>
          <w:rFonts w:cs="Arial"/>
        </w:rPr>
        <w:t xml:space="preserve">The </w:t>
      </w:r>
      <w:hyperlink r:id="rId27" w:history="1">
        <w:r w:rsidRPr="004132B6">
          <w:rPr>
            <w:rStyle w:val="Hyperlink"/>
            <w:rFonts w:cs="Arial"/>
          </w:rPr>
          <w:t>Office of the Australian Information Commissioner</w:t>
        </w:r>
      </w:hyperlink>
      <w:r w:rsidRPr="004132B6">
        <w:rPr>
          <w:rFonts w:cs="Arial"/>
        </w:rPr>
        <w:t xml:space="preserve"> (</w:t>
      </w:r>
      <w:r w:rsidRPr="00A56C63">
        <w:rPr>
          <w:rFonts w:cs="Arial"/>
          <w:b/>
          <w:bCs/>
        </w:rPr>
        <w:t>OAIC</w:t>
      </w:r>
      <w:r w:rsidRPr="004132B6">
        <w:rPr>
          <w:rFonts w:cs="Arial"/>
        </w:rPr>
        <w:t xml:space="preserve">) has functions in relation to promoting and upholding privacy and information access rights under the federal </w:t>
      </w:r>
      <w:r w:rsidRPr="004132B6">
        <w:rPr>
          <w:rFonts w:cs="Arial"/>
          <w:i/>
        </w:rPr>
        <w:t>Privacy Act 1988</w:t>
      </w:r>
      <w:r w:rsidRPr="004132B6">
        <w:rPr>
          <w:rFonts w:cs="Arial"/>
        </w:rPr>
        <w:t xml:space="preserve"> (Cth). </w:t>
      </w:r>
    </w:p>
    <w:p w14:paraId="75F44900" w14:textId="725EBFB3" w:rsidR="00F04944" w:rsidRPr="00D838C4" w:rsidRDefault="00F04944" w:rsidP="00F04944">
      <w:pPr>
        <w:rPr>
          <w:rFonts w:cs="Arial"/>
          <w:color w:val="003347"/>
        </w:rPr>
      </w:pPr>
      <w:r w:rsidRPr="004132B6">
        <w:rPr>
          <w:rFonts w:cs="Arial"/>
        </w:rPr>
        <w:t xml:space="preserve">The OAIC provides information and advice about </w:t>
      </w:r>
      <w:bookmarkStart w:id="4" w:name="_Hlk193191344"/>
      <w:r w:rsidRPr="004132B6">
        <w:rPr>
          <w:rFonts w:cs="Arial"/>
        </w:rPr>
        <w:t>privacy</w:t>
      </w:r>
      <w:r w:rsidR="00F957E7">
        <w:rPr>
          <w:rFonts w:cs="Arial"/>
        </w:rPr>
        <w:t xml:space="preserve"> obligations under the federal Privacy Act</w:t>
      </w:r>
      <w:r w:rsidRPr="004132B6">
        <w:rPr>
          <w:rFonts w:cs="Arial"/>
        </w:rPr>
        <w:t xml:space="preserve"> </w:t>
      </w:r>
      <w:bookmarkEnd w:id="4"/>
      <w:r w:rsidRPr="004132B6">
        <w:rPr>
          <w:rFonts w:cs="Arial"/>
        </w:rPr>
        <w:t xml:space="preserve">to individuals, businesses and government agencies through their </w:t>
      </w:r>
      <w:hyperlink r:id="rId28" w:history="1">
        <w:r w:rsidRPr="004132B6">
          <w:rPr>
            <w:rStyle w:val="Hyperlink"/>
            <w:rFonts w:cs="Arial"/>
          </w:rPr>
          <w:t>enquiries team</w:t>
        </w:r>
      </w:hyperlink>
      <w:r w:rsidRPr="004132B6">
        <w:rPr>
          <w:rFonts w:cs="Arial"/>
        </w:rPr>
        <w:t xml:space="preserve"> and </w:t>
      </w:r>
      <w:hyperlink r:id="rId29" w:history="1">
        <w:r w:rsidRPr="004132B6">
          <w:rPr>
            <w:rStyle w:val="Hyperlink"/>
            <w:rFonts w:cs="Arial"/>
          </w:rPr>
          <w:t>their website</w:t>
        </w:r>
      </w:hyperlink>
      <w:r w:rsidRPr="00D838C4">
        <w:rPr>
          <w:rFonts w:cs="Arial"/>
        </w:rPr>
        <w:t>.</w:t>
      </w:r>
    </w:p>
    <w:p w14:paraId="37A17911" w14:textId="46033480" w:rsidR="00F04944" w:rsidRPr="00D838C4" w:rsidRDefault="00F957E7" w:rsidP="00F04944">
      <w:pPr>
        <w:spacing w:after="60"/>
        <w:rPr>
          <w:rFonts w:cs="Arial"/>
        </w:rPr>
      </w:pPr>
      <w:r>
        <w:rPr>
          <w:rFonts w:cs="Arial"/>
        </w:rPr>
        <w:t>Even i</w:t>
      </w:r>
      <w:r w:rsidR="00B95C8F">
        <w:rPr>
          <w:rFonts w:cs="Arial"/>
        </w:rPr>
        <w:t>f</w:t>
      </w:r>
      <w:r w:rsidR="00F04944" w:rsidRPr="00D838C4">
        <w:rPr>
          <w:rFonts w:cs="Arial"/>
        </w:rPr>
        <w:t xml:space="preserve"> your contract requires you to comply with </w:t>
      </w:r>
      <w:r w:rsidR="00B95C8F" w:rsidRPr="00B95C8F">
        <w:rPr>
          <w:rFonts w:cs="Arial"/>
          <w:b/>
          <w:bCs/>
        </w:rPr>
        <w:t>chapter 2, parts 1 and 3</w:t>
      </w:r>
      <w:r w:rsidR="00B95C8F">
        <w:rPr>
          <w:rFonts w:cs="Arial"/>
        </w:rPr>
        <w:t xml:space="preserve"> of </w:t>
      </w:r>
      <w:r w:rsidR="00F04944" w:rsidRPr="00D838C4">
        <w:rPr>
          <w:rFonts w:cs="Arial"/>
        </w:rPr>
        <w:t xml:space="preserve">the Queensland </w:t>
      </w:r>
      <w:r w:rsidR="00F04944" w:rsidRPr="00D838C4">
        <w:rPr>
          <w:rFonts w:cs="Arial"/>
          <w:i/>
        </w:rPr>
        <w:t xml:space="preserve">Information Privacy Act 2009 </w:t>
      </w:r>
      <w:r w:rsidR="000712D4">
        <w:rPr>
          <w:rFonts w:cs="Arial"/>
          <w:iCs/>
        </w:rPr>
        <w:t>(</w:t>
      </w:r>
      <w:r w:rsidR="00B95C8F">
        <w:rPr>
          <w:rFonts w:cs="Arial"/>
          <w:iCs/>
        </w:rPr>
        <w:t>and is not</w:t>
      </w:r>
      <w:r w:rsidR="00A25B76">
        <w:rPr>
          <w:rFonts w:cs="Arial"/>
          <w:iCs/>
        </w:rPr>
        <w:t xml:space="preserve"> varied after 1 July 2025</w:t>
      </w:r>
      <w:r w:rsidR="000712D4">
        <w:rPr>
          <w:rFonts w:cs="Arial"/>
          <w:iCs/>
        </w:rPr>
        <w:t>)</w:t>
      </w:r>
      <w:r w:rsidR="00A25B76">
        <w:rPr>
          <w:rFonts w:cs="Arial"/>
          <w:iCs/>
        </w:rPr>
        <w:t xml:space="preserve">, </w:t>
      </w:r>
      <w:r w:rsidR="00F04944" w:rsidRPr="00D838C4">
        <w:rPr>
          <w:rFonts w:cs="Arial"/>
        </w:rPr>
        <w:t xml:space="preserve">the guidance on the OAIC website may </w:t>
      </w:r>
      <w:r w:rsidR="00A25B76">
        <w:rPr>
          <w:rFonts w:cs="Arial"/>
        </w:rPr>
        <w:t xml:space="preserve">still </w:t>
      </w:r>
      <w:r w:rsidR="00F04944" w:rsidRPr="00D838C4">
        <w:rPr>
          <w:rFonts w:cs="Arial"/>
        </w:rPr>
        <w:t>be useful. For example:</w:t>
      </w:r>
    </w:p>
    <w:p w14:paraId="48AE4297" w14:textId="77777777" w:rsidR="00F04944" w:rsidRPr="004132B6" w:rsidRDefault="007F7E07" w:rsidP="00F04944">
      <w:pPr>
        <w:pStyle w:val="ListParagraph"/>
        <w:numPr>
          <w:ilvl w:val="0"/>
          <w:numId w:val="12"/>
        </w:numPr>
        <w:spacing w:after="160" w:line="259" w:lineRule="auto"/>
        <w:ind w:left="284" w:hanging="284"/>
        <w:rPr>
          <w:rFonts w:cs="Arial"/>
        </w:rPr>
      </w:pPr>
      <w:hyperlink r:id="rId30" w:history="1">
        <w:r w:rsidR="00F04944" w:rsidRPr="004132B6">
          <w:rPr>
            <w:rStyle w:val="Hyperlink"/>
            <w:rFonts w:cs="Arial"/>
            <w:i/>
          </w:rPr>
          <w:t>Guide to securing personal informa</w:t>
        </w:r>
        <w:r w:rsidR="00F04944" w:rsidRPr="004132B6">
          <w:rPr>
            <w:rStyle w:val="Hyperlink"/>
            <w:rFonts w:cs="Arial"/>
          </w:rPr>
          <w:t>tion</w:t>
        </w:r>
      </w:hyperlink>
      <w:r w:rsidR="00F04944" w:rsidRPr="004132B6">
        <w:rPr>
          <w:rFonts w:cs="Arial"/>
        </w:rPr>
        <w:t xml:space="preserve"> </w:t>
      </w:r>
    </w:p>
    <w:p w14:paraId="603D6449" w14:textId="77777777" w:rsidR="00F04944" w:rsidRPr="004132B6" w:rsidRDefault="007F7E07" w:rsidP="00F04944">
      <w:pPr>
        <w:pStyle w:val="ListParagraph"/>
        <w:numPr>
          <w:ilvl w:val="0"/>
          <w:numId w:val="12"/>
        </w:numPr>
        <w:spacing w:after="160" w:line="259" w:lineRule="auto"/>
        <w:ind w:left="284" w:hanging="284"/>
        <w:rPr>
          <w:rFonts w:cs="Arial"/>
        </w:rPr>
      </w:pPr>
      <w:hyperlink r:id="rId31" w:history="1">
        <w:r w:rsidR="00F04944" w:rsidRPr="004132B6">
          <w:rPr>
            <w:rStyle w:val="Hyperlink"/>
            <w:rFonts w:cs="Arial"/>
            <w:i/>
          </w:rPr>
          <w:t>Privacy management framework: enabling compliance and encouraging good practice</w:t>
        </w:r>
      </w:hyperlink>
      <w:r w:rsidR="00F04944" w:rsidRPr="004132B6">
        <w:rPr>
          <w:rFonts w:cs="Arial"/>
        </w:rPr>
        <w:t xml:space="preserve"> </w:t>
      </w:r>
    </w:p>
    <w:p w14:paraId="2E3D1EA9" w14:textId="77777777" w:rsidR="00F04944" w:rsidRPr="00A25B76" w:rsidRDefault="007F7E07" w:rsidP="00F04944">
      <w:pPr>
        <w:pStyle w:val="ListParagraph"/>
        <w:numPr>
          <w:ilvl w:val="0"/>
          <w:numId w:val="12"/>
        </w:numPr>
        <w:spacing w:after="160" w:line="259" w:lineRule="auto"/>
        <w:ind w:left="284" w:hanging="284"/>
        <w:rPr>
          <w:rStyle w:val="Hyperlink"/>
          <w:rFonts w:cs="Arial"/>
          <w:color w:val="auto"/>
          <w:u w:val="none"/>
        </w:rPr>
      </w:pPr>
      <w:hyperlink r:id="rId32" w:history="1">
        <w:r w:rsidR="00F04944" w:rsidRPr="004132B6">
          <w:rPr>
            <w:rStyle w:val="Hyperlink"/>
            <w:rFonts w:cs="Arial"/>
            <w:i/>
          </w:rPr>
          <w:t>Sending personal information out of Australia</w:t>
        </w:r>
      </w:hyperlink>
    </w:p>
    <w:p w14:paraId="05073BEB" w14:textId="77777777" w:rsidR="00A25B76" w:rsidRPr="00A25B76" w:rsidRDefault="00A25B76" w:rsidP="00A25B76">
      <w:pPr>
        <w:spacing w:after="160" w:line="259" w:lineRule="auto"/>
        <w:rPr>
          <w:rFonts w:cs="Arial"/>
        </w:rPr>
      </w:pPr>
    </w:p>
    <w:p w14:paraId="1DF1BB37" w14:textId="7E5D1DB3" w:rsidR="00596AA7" w:rsidRDefault="00C713CD" w:rsidP="00C713CD">
      <w:pPr>
        <w:pBdr>
          <w:top w:val="single" w:sz="4" w:space="1" w:color="auto"/>
          <w:left w:val="single" w:sz="4" w:space="4" w:color="auto"/>
          <w:bottom w:val="single" w:sz="4" w:space="1" w:color="auto"/>
          <w:right w:val="single" w:sz="4" w:space="4" w:color="auto"/>
        </w:pBdr>
        <w:shd w:val="clear" w:color="auto" w:fill="E1F2F2" w:themeFill="accent5" w:themeFillTint="33"/>
        <w:spacing w:after="0"/>
      </w:pPr>
      <w:r>
        <w:rPr>
          <w:b/>
          <w:bCs/>
        </w:rPr>
        <w:t xml:space="preserve">Note: </w:t>
      </w:r>
      <w:r w:rsidRPr="00C713CD">
        <w:t>This guide does not constitute legal advice and is general in nature only. Additional factors may be relevant in specific circumstances. For detailed guidance, legal advice should be sought.</w:t>
      </w:r>
    </w:p>
    <w:sectPr w:rsidR="00596AA7" w:rsidSect="009E2F0E">
      <w:headerReference w:type="default" r:id="rId33"/>
      <w:footerReference w:type="default" r:id="rId34"/>
      <w:type w:val="continuous"/>
      <w:pgSz w:w="11906" w:h="16838" w:code="9"/>
      <w:pgMar w:top="2211"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8E49" w14:textId="77777777" w:rsidR="0020131D" w:rsidRDefault="0020131D">
      <w:r>
        <w:separator/>
      </w:r>
    </w:p>
  </w:endnote>
  <w:endnote w:type="continuationSeparator" w:id="0">
    <w:p w14:paraId="3ADCB87E" w14:textId="77777777" w:rsidR="0020131D" w:rsidRDefault="0020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70189412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7282" w14:textId="77777777" w:rsidR="00F04944" w:rsidRPr="00F04944" w:rsidRDefault="00F04944" w:rsidP="00F04944">
    <w:pPr>
      <w:pStyle w:val="Footer"/>
      <w:rPr>
        <w:sz w:val="18"/>
        <w:szCs w:val="18"/>
      </w:rPr>
    </w:pPr>
    <w:r w:rsidRPr="00F04944">
      <w:rPr>
        <w:sz w:val="18"/>
        <w:szCs w:val="18"/>
      </w:rPr>
      <w:t>Title: CSP security obligations fact sheet</w:t>
    </w:r>
  </w:p>
  <w:p w14:paraId="4AF70EBA" w14:textId="77777777" w:rsidR="00F04944" w:rsidRPr="00F04944" w:rsidRDefault="00F04944" w:rsidP="00F04944">
    <w:pPr>
      <w:pStyle w:val="Footer"/>
      <w:rPr>
        <w:sz w:val="18"/>
        <w:szCs w:val="18"/>
      </w:rPr>
    </w:pPr>
    <w:r w:rsidRPr="00F04944">
      <w:rPr>
        <w:sz w:val="18"/>
        <w:szCs w:val="18"/>
      </w:rPr>
      <w:t>Author: RTI, Privacy, Records Management &amp; Redress</w:t>
    </w:r>
  </w:p>
  <w:p w14:paraId="2A8D0F13" w14:textId="6C60B83E" w:rsidR="00986105" w:rsidRPr="00F04944" w:rsidRDefault="00F04944" w:rsidP="009263D0">
    <w:pPr>
      <w:pStyle w:val="Footer"/>
      <w:jc w:val="center"/>
      <w:rPr>
        <w:sz w:val="18"/>
        <w:szCs w:val="18"/>
      </w:rPr>
    </w:pPr>
    <w:r w:rsidRPr="00F04944">
      <w:rPr>
        <w:sz w:val="18"/>
        <w:szCs w:val="18"/>
      </w:rPr>
      <w:t>Issued: July 2025</w:t>
    </w:r>
    <w:r w:rsidRPr="00F04944">
      <w:rPr>
        <w:sz w:val="18"/>
        <w:szCs w:val="18"/>
      </w:rPr>
      <w:ptab w:relativeTo="margin" w:alignment="center" w:leader="none"/>
    </w:r>
    <w:r w:rsidRPr="00F04944">
      <w:rPr>
        <w:sz w:val="18"/>
        <w:szCs w:val="18"/>
      </w:rPr>
      <w:ptab w:relativeTo="margin" w:alignment="right" w:leader="none"/>
    </w:r>
    <w:r w:rsidRPr="00F04944">
      <w:rPr>
        <w:sz w:val="18"/>
        <w:szCs w:val="18"/>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9CF1" w14:textId="77777777" w:rsidR="0020131D" w:rsidRDefault="0020131D">
      <w:r>
        <w:separator/>
      </w:r>
    </w:p>
  </w:footnote>
  <w:footnote w:type="continuationSeparator" w:id="0">
    <w:p w14:paraId="593C86AA" w14:textId="77777777" w:rsidR="0020131D" w:rsidRDefault="0020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2188932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1222423600"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217532F" w14:textId="7311324A" w:rsidR="00986105" w:rsidRDefault="00F04944">
    <w:pPr>
      <w:pStyle w:val="Header"/>
    </w:pPr>
    <w:r>
      <w:t>CSP security obligations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C62B92"/>
    <w:multiLevelType w:val="hybridMultilevel"/>
    <w:tmpl w:val="9970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9E4098"/>
    <w:multiLevelType w:val="hybridMultilevel"/>
    <w:tmpl w:val="B1B6087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44437F90"/>
    <w:multiLevelType w:val="hybridMultilevel"/>
    <w:tmpl w:val="0886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509D1"/>
    <w:multiLevelType w:val="hybridMultilevel"/>
    <w:tmpl w:val="87AC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8D40B9"/>
    <w:multiLevelType w:val="hybridMultilevel"/>
    <w:tmpl w:val="F79E3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327909288">
    <w:abstractNumId w:val="13"/>
  </w:num>
  <w:num w:numId="12" w16cid:durableId="1531646709">
    <w:abstractNumId w:val="10"/>
  </w:num>
  <w:num w:numId="13" w16cid:durableId="1429961540">
    <w:abstractNumId w:val="12"/>
  </w:num>
  <w:num w:numId="14" w16cid:durableId="793404793">
    <w:abstractNumId w:val="14"/>
  </w:num>
  <w:num w:numId="15" w16cid:durableId="1427844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C73"/>
    <w:rsid w:val="00031E75"/>
    <w:rsid w:val="0003274A"/>
    <w:rsid w:val="00033768"/>
    <w:rsid w:val="00033B1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12D4"/>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16D"/>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EC8"/>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131D"/>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871"/>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07B0"/>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7F0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5C4"/>
    <w:rsid w:val="004B2634"/>
    <w:rsid w:val="004B2771"/>
    <w:rsid w:val="004B27C9"/>
    <w:rsid w:val="004B2A87"/>
    <w:rsid w:val="004B6A66"/>
    <w:rsid w:val="004C3C0D"/>
    <w:rsid w:val="004C52F3"/>
    <w:rsid w:val="004C5DC6"/>
    <w:rsid w:val="004C64E0"/>
    <w:rsid w:val="004D05E5"/>
    <w:rsid w:val="004D155C"/>
    <w:rsid w:val="004D2940"/>
    <w:rsid w:val="004D2EA8"/>
    <w:rsid w:val="004D3897"/>
    <w:rsid w:val="004D3A62"/>
    <w:rsid w:val="004D51D1"/>
    <w:rsid w:val="004D5A2E"/>
    <w:rsid w:val="004D5D2F"/>
    <w:rsid w:val="004D7D53"/>
    <w:rsid w:val="004E08CC"/>
    <w:rsid w:val="004E1B43"/>
    <w:rsid w:val="004E35C8"/>
    <w:rsid w:val="004E5D7A"/>
    <w:rsid w:val="004E68E9"/>
    <w:rsid w:val="004E7444"/>
    <w:rsid w:val="004E761F"/>
    <w:rsid w:val="004E7FFE"/>
    <w:rsid w:val="004F165D"/>
    <w:rsid w:val="004F191C"/>
    <w:rsid w:val="004F19A9"/>
    <w:rsid w:val="004F40EF"/>
    <w:rsid w:val="004F548E"/>
    <w:rsid w:val="004F674A"/>
    <w:rsid w:val="004F765F"/>
    <w:rsid w:val="00501650"/>
    <w:rsid w:val="005032D0"/>
    <w:rsid w:val="00505399"/>
    <w:rsid w:val="005054A9"/>
    <w:rsid w:val="00505563"/>
    <w:rsid w:val="005056CC"/>
    <w:rsid w:val="00505983"/>
    <w:rsid w:val="00505AF0"/>
    <w:rsid w:val="00505C16"/>
    <w:rsid w:val="00506B14"/>
    <w:rsid w:val="00506D3C"/>
    <w:rsid w:val="00506DFC"/>
    <w:rsid w:val="00506FD1"/>
    <w:rsid w:val="00507EE7"/>
    <w:rsid w:val="00510795"/>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5C8B"/>
    <w:rsid w:val="00586A1C"/>
    <w:rsid w:val="00587104"/>
    <w:rsid w:val="005874CA"/>
    <w:rsid w:val="005907C1"/>
    <w:rsid w:val="00590D0C"/>
    <w:rsid w:val="00592779"/>
    <w:rsid w:val="00592C1A"/>
    <w:rsid w:val="005955DB"/>
    <w:rsid w:val="00596AA7"/>
    <w:rsid w:val="005A21C3"/>
    <w:rsid w:val="005A358A"/>
    <w:rsid w:val="005A37F6"/>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5564"/>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47E0A"/>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4"/>
    <w:rsid w:val="007913B5"/>
    <w:rsid w:val="00792CC1"/>
    <w:rsid w:val="00795076"/>
    <w:rsid w:val="007954B6"/>
    <w:rsid w:val="00795960"/>
    <w:rsid w:val="00795D10"/>
    <w:rsid w:val="00796776"/>
    <w:rsid w:val="00796D6E"/>
    <w:rsid w:val="00797E04"/>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B8C"/>
    <w:rsid w:val="007F6D99"/>
    <w:rsid w:val="007F6F47"/>
    <w:rsid w:val="007F7701"/>
    <w:rsid w:val="007F7E07"/>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54C1"/>
    <w:rsid w:val="00856342"/>
    <w:rsid w:val="00856C90"/>
    <w:rsid w:val="008572A0"/>
    <w:rsid w:val="00857CA4"/>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18D4"/>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37F5A"/>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7780"/>
    <w:rsid w:val="009C0859"/>
    <w:rsid w:val="009C44B2"/>
    <w:rsid w:val="009C5179"/>
    <w:rsid w:val="009C538E"/>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0D71"/>
    <w:rsid w:val="009F3748"/>
    <w:rsid w:val="009F3AAE"/>
    <w:rsid w:val="009F503F"/>
    <w:rsid w:val="009F6600"/>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5B76"/>
    <w:rsid w:val="00A27292"/>
    <w:rsid w:val="00A31221"/>
    <w:rsid w:val="00A312C4"/>
    <w:rsid w:val="00A32E6B"/>
    <w:rsid w:val="00A33F8C"/>
    <w:rsid w:val="00A364D6"/>
    <w:rsid w:val="00A40622"/>
    <w:rsid w:val="00A456C5"/>
    <w:rsid w:val="00A45B77"/>
    <w:rsid w:val="00A45BEB"/>
    <w:rsid w:val="00A46992"/>
    <w:rsid w:val="00A50BCC"/>
    <w:rsid w:val="00A51E82"/>
    <w:rsid w:val="00A5248E"/>
    <w:rsid w:val="00A539A4"/>
    <w:rsid w:val="00A55525"/>
    <w:rsid w:val="00A56C63"/>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012"/>
    <w:rsid w:val="00B52C0E"/>
    <w:rsid w:val="00B5331C"/>
    <w:rsid w:val="00B54622"/>
    <w:rsid w:val="00B549B6"/>
    <w:rsid w:val="00B572C8"/>
    <w:rsid w:val="00B61982"/>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5C8F"/>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07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C03"/>
    <w:rsid w:val="00C52D87"/>
    <w:rsid w:val="00C52DBF"/>
    <w:rsid w:val="00C55D2C"/>
    <w:rsid w:val="00C56738"/>
    <w:rsid w:val="00C56961"/>
    <w:rsid w:val="00C61B08"/>
    <w:rsid w:val="00C63BD9"/>
    <w:rsid w:val="00C64F70"/>
    <w:rsid w:val="00C6660D"/>
    <w:rsid w:val="00C66F39"/>
    <w:rsid w:val="00C7117F"/>
    <w:rsid w:val="00C713CD"/>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3F"/>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5621"/>
    <w:rsid w:val="00D2221E"/>
    <w:rsid w:val="00D25BAC"/>
    <w:rsid w:val="00D311A2"/>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243"/>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80628"/>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944"/>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5227"/>
    <w:rsid w:val="00F37F68"/>
    <w:rsid w:val="00F40AAE"/>
    <w:rsid w:val="00F41177"/>
    <w:rsid w:val="00F427BC"/>
    <w:rsid w:val="00F4345C"/>
    <w:rsid w:val="00F43517"/>
    <w:rsid w:val="00F464A2"/>
    <w:rsid w:val="00F46FE3"/>
    <w:rsid w:val="00F47D26"/>
    <w:rsid w:val="00F5125C"/>
    <w:rsid w:val="00F51A2F"/>
    <w:rsid w:val="00F523EB"/>
    <w:rsid w:val="00F52B97"/>
    <w:rsid w:val="00F56C5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7E7"/>
    <w:rsid w:val="00F958BC"/>
    <w:rsid w:val="00F960AE"/>
    <w:rsid w:val="00F96460"/>
    <w:rsid w:val="00F96CBE"/>
    <w:rsid w:val="00F9783C"/>
    <w:rsid w:val="00F97E2A"/>
    <w:rsid w:val="00FA076F"/>
    <w:rsid w:val="00FA1C91"/>
    <w:rsid w:val="00FA2655"/>
    <w:rsid w:val="00FA3785"/>
    <w:rsid w:val="00FA3976"/>
    <w:rsid w:val="00FA44B4"/>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CF9D21E0-30B6-444D-8A01-DAA92B36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link w:val="FooterChar"/>
    <w:uiPriority w:val="99"/>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uiPriority w:val="99"/>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customStyle="1" w:styleId="Default">
    <w:name w:val="Default"/>
    <w:rsid w:val="00F04944"/>
    <w:pPr>
      <w:autoSpaceDE w:val="0"/>
      <w:autoSpaceDN w:val="0"/>
      <w:adjustRightInd w:val="0"/>
    </w:pPr>
    <w:rPr>
      <w:rFonts w:ascii="Arial" w:eastAsiaTheme="minorHAnsi" w:hAnsi="Arial" w:cs="Arial"/>
      <w:color w:val="000000"/>
      <w:sz w:val="24"/>
      <w:szCs w:val="24"/>
    </w:rPr>
  </w:style>
  <w:style w:type="paragraph" w:styleId="FootnoteText">
    <w:name w:val="footnote text"/>
    <w:basedOn w:val="Normal"/>
    <w:link w:val="FootnoteTextChar"/>
    <w:uiPriority w:val="99"/>
    <w:unhideWhenUsed/>
    <w:rsid w:val="00F04944"/>
    <w:pPr>
      <w:spacing w:after="0"/>
    </w:pPr>
    <w:rPr>
      <w:sz w:val="20"/>
      <w:szCs w:val="20"/>
    </w:rPr>
  </w:style>
  <w:style w:type="character" w:customStyle="1" w:styleId="FootnoteTextChar">
    <w:name w:val="Footnote Text Char"/>
    <w:basedOn w:val="DefaultParagraphFont"/>
    <w:link w:val="FootnoteText"/>
    <w:uiPriority w:val="99"/>
    <w:rsid w:val="00F04944"/>
    <w:rPr>
      <w:rFonts w:ascii="Arial" w:hAnsi="Arial"/>
      <w:lang w:eastAsia="en-AU"/>
    </w:rPr>
  </w:style>
  <w:style w:type="paragraph" w:styleId="ListParagraph">
    <w:name w:val="List Paragraph"/>
    <w:basedOn w:val="Normal"/>
    <w:uiPriority w:val="34"/>
    <w:qFormat/>
    <w:rsid w:val="00F04944"/>
    <w:pPr>
      <w:spacing w:after="240"/>
      <w:ind w:left="720"/>
      <w:contextualSpacing/>
    </w:pPr>
  </w:style>
  <w:style w:type="character" w:customStyle="1" w:styleId="FooterChar">
    <w:name w:val="Footer Char"/>
    <w:basedOn w:val="DefaultParagraphFont"/>
    <w:link w:val="Footer"/>
    <w:uiPriority w:val="99"/>
    <w:rsid w:val="00F04944"/>
    <w:rPr>
      <w:rFonts w:ascii="Arial" w:hAnsi="Arial"/>
      <w:szCs w:val="28"/>
      <w:lang w:eastAsia="en-AU"/>
    </w:rPr>
  </w:style>
  <w:style w:type="character" w:styleId="UnresolvedMention">
    <w:name w:val="Unresolved Mention"/>
    <w:basedOn w:val="DefaultParagraphFont"/>
    <w:uiPriority w:val="99"/>
    <w:semiHidden/>
    <w:unhideWhenUsed/>
    <w:rsid w:val="00437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orgov.qld.gov.au/information-and-communication-technology/qgea-policies-standards-and-guidelines/information-security-policy-is18-2018" TargetMode="External"/><Relationship Id="rId18" Type="http://schemas.openxmlformats.org/officeDocument/2006/relationships/hyperlink" Target="https://www.oic.qld.gov.au/about/privacy" TargetMode="External"/><Relationship Id="rId26" Type="http://schemas.openxmlformats.org/officeDocument/2006/relationships/hyperlink" Target="https://www.oic.qld.gov.au/guidelines/for-government/guidelines-privacy-principles/security,-accuracy-and-relevance/achieving-effective-privacy-and-information-security-training" TargetMode="External"/><Relationship Id="rId3" Type="http://schemas.openxmlformats.org/officeDocument/2006/relationships/styles" Target="styles.xml"/><Relationship Id="rId21" Type="http://schemas.openxmlformats.org/officeDocument/2006/relationships/hyperlink" Target="https://www.oic.qld.gov.au/guidelines/for-government/guidelines-privacy-principles/security,-accuracy-and-relevance/basic-guide-to-ipp-4-storage-and-securit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orgov.qld.gov.au/finance-and-procurement/procurement/procurement-resources/templates-including-terms-and-conditions/social-services-templates/when-to-use-the-service-agreement-standard-terms-social-services" TargetMode="External"/><Relationship Id="rId17" Type="http://schemas.openxmlformats.org/officeDocument/2006/relationships/hyperlink" Target="https://www.cyber.gov.au/acsc/view-all-content/essential-eight" TargetMode="External"/><Relationship Id="rId25" Type="http://schemas.openxmlformats.org/officeDocument/2006/relationships/hyperlink" Target="https://www.oic.qld.gov.au/guidelines/for-government/guidelines-privacy-principles/applying-the-privacy-principles/cloud-computing-and-the-privacy-principl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sd.gov.au/" TargetMode="External"/><Relationship Id="rId20" Type="http://schemas.openxmlformats.org/officeDocument/2006/relationships/hyperlink" Target="https://www.oic.qld.gov.au/" TargetMode="External"/><Relationship Id="rId29" Type="http://schemas.openxmlformats.org/officeDocument/2006/relationships/hyperlink" Target="https://www.oaic.gov.au/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ic.qld.gov.au/guidelines/for-government/guidelines-privacy-principles/security,-accuracy-and-relevance/protection-and-security-of-personal-information" TargetMode="External"/><Relationship Id="rId32" Type="http://schemas.openxmlformats.org/officeDocument/2006/relationships/hyperlink" Target="https://www.oaic.gov.au/privacy/guidance-and-advice/sending-personal-information-overseas/" TargetMode="External"/><Relationship Id="rId5" Type="http://schemas.openxmlformats.org/officeDocument/2006/relationships/webSettings" Target="webSettings.xml"/><Relationship Id="rId15" Type="http://schemas.openxmlformats.org/officeDocument/2006/relationships/hyperlink" Target="https://www.cyber.gov.au/" TargetMode="External"/><Relationship Id="rId23" Type="http://schemas.openxmlformats.org/officeDocument/2006/relationships/hyperlink" Target="https://www.oic.qld.gov.au/guidelines/for-government/guidelines-privacy-principles/security,-accuracy-and-relevance" TargetMode="External"/><Relationship Id="rId28" Type="http://schemas.openxmlformats.org/officeDocument/2006/relationships/hyperlink" Target="https://www.oaic.gov.au/about-us/contact-us/"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oic.qld.gov.au/about/contact-us" TargetMode="External"/><Relationship Id="rId31" Type="http://schemas.openxmlformats.org/officeDocument/2006/relationships/hyperlink" Target="https://www.oaic.gov.au/privacy/guidance-and-advice/privacy-management-framework-enabling-compliance-and-encouraging-good-pract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so.org/isoiec-27001-information-security.html?_sm_au_=iHVJnBVj3PHLmsPrH6TM8KtKC7Cf3" TargetMode="External"/><Relationship Id="rId22" Type="http://schemas.openxmlformats.org/officeDocument/2006/relationships/hyperlink" Target="https://www.oic.qld.gov.au/__data/assets/pdf_file/0010/64189/IPOLA-Guideline-QPP11-Security-deidentification-and-destruction-of-personal-information.pdf" TargetMode="External"/><Relationship Id="rId27" Type="http://schemas.openxmlformats.org/officeDocument/2006/relationships/hyperlink" Target="https://www.oaic.gov.au/privacy/" TargetMode="External"/><Relationship Id="rId30" Type="http://schemas.openxmlformats.org/officeDocument/2006/relationships/hyperlink" Target="https://www.oaic.gov.au/privacy/guidance-and-advice/guide-to-securing-personal-information/"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6310</Characters>
  <Application>Microsoft Office Word</Application>
  <DocSecurity>4</DocSecurity>
  <Lines>52</Lines>
  <Paragraphs>13</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6870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obligations</dc:title>
  <dc:subject>FSDSCS  blue A4 portrait factsheet</dc:subject>
  <dc:creator>Queensland Government</dc:creator>
  <cp:keywords>security obligations</cp:keywords>
  <dc:description/>
  <cp:lastModifiedBy>Julieanne J Larkin</cp:lastModifiedBy>
  <cp:revision>2</cp:revision>
  <dcterms:created xsi:type="dcterms:W3CDTF">2025-06-30T23:00:00Z</dcterms:created>
  <dcterms:modified xsi:type="dcterms:W3CDTF">2025-06-30T23:00:00Z</dcterms:modified>
  <cp:category>template</cp:category>
</cp:coreProperties>
</file>