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fbfff3" angle="-90" focus="-50%" type="gradient"/>
    </v:background>
  </w:background>
  <w:body>
    <w:p w14:paraId="2EC57814" w14:textId="78BA2DAA" w:rsidR="005A4D49" w:rsidRPr="0084533E" w:rsidRDefault="009C1ACC" w:rsidP="0084533E">
      <w:pPr>
        <w:pStyle w:val="Heading1"/>
      </w:pPr>
      <w:r w:rsidRPr="0084533E">
        <w:drawing>
          <wp:anchor distT="0" distB="0" distL="114300" distR="114300" simplePos="0" relativeHeight="251658241" behindDoc="0" locked="0" layoutInCell="1" allowOverlap="1" wp14:anchorId="56A88EB0" wp14:editId="7AE1C337">
            <wp:simplePos x="0" y="0"/>
            <wp:positionH relativeFrom="page">
              <wp:posOffset>5958818</wp:posOffset>
            </wp:positionH>
            <wp:positionV relativeFrom="page">
              <wp:posOffset>125598</wp:posOffset>
            </wp:positionV>
            <wp:extent cx="1686560" cy="734060"/>
            <wp:effectExtent l="0" t="0" r="0" b="0"/>
            <wp:wrapNone/>
            <wp:docPr id="795171818" name="Frontpage_Logo_Positiv">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95171818" name="Frontpage_Logo_Positiv">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a:stretch/>
                  </pic:blipFill>
                  <pic:spPr>
                    <a:xfrm>
                      <a:off x="0" y="0"/>
                      <a:ext cx="1686560" cy="734060"/>
                    </a:xfrm>
                    <a:prstGeom prst="rect">
                      <a:avLst/>
                    </a:prstGeom>
                  </pic:spPr>
                </pic:pic>
              </a:graphicData>
            </a:graphic>
            <wp14:sizeRelH relativeFrom="margin">
              <wp14:pctWidth>0</wp14:pctWidth>
            </wp14:sizeRelH>
            <wp14:sizeRelV relativeFrom="margin">
              <wp14:pctHeight>0</wp14:pctHeight>
            </wp14:sizeRelV>
          </wp:anchor>
        </w:drawing>
      </w:r>
      <w:r w:rsidRPr="0084533E">
        <mc:AlternateContent>
          <mc:Choice Requires="wps">
            <w:drawing>
              <wp:anchor distT="0" distB="0" distL="114300" distR="114300" simplePos="0" relativeHeight="251658240" behindDoc="0" locked="0" layoutInCell="1" allowOverlap="1" wp14:anchorId="3240CD74" wp14:editId="51E173A9">
                <wp:simplePos x="0" y="0"/>
                <wp:positionH relativeFrom="margin">
                  <wp:posOffset>-914400</wp:posOffset>
                </wp:positionH>
                <wp:positionV relativeFrom="paragraph">
                  <wp:posOffset>-903320</wp:posOffset>
                </wp:positionV>
                <wp:extent cx="7759700" cy="1705610"/>
                <wp:effectExtent l="0" t="0" r="0" b="889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59700" cy="1705610"/>
                        </a:xfrm>
                        <a:custGeom>
                          <a:avLst/>
                          <a:gdLst>
                            <a:gd name="connsiteX0" fmla="*/ 5829300 w 5829300"/>
                            <a:gd name="connsiteY0" fmla="*/ 0 h 1521142"/>
                            <a:gd name="connsiteX1" fmla="*/ 0 w 5829300"/>
                            <a:gd name="connsiteY1" fmla="*/ 0 h 1521142"/>
                            <a:gd name="connsiteX2" fmla="*/ 0 w 5829300"/>
                            <a:gd name="connsiteY2" fmla="*/ 1521143 h 1521142"/>
                            <a:gd name="connsiteX3" fmla="*/ 5829300 w 5829300"/>
                            <a:gd name="connsiteY3" fmla="*/ 0 h 1521142"/>
                          </a:gdLst>
                          <a:ahLst/>
                          <a:cxnLst>
                            <a:cxn ang="0">
                              <a:pos x="connsiteX0" y="connsiteY0"/>
                            </a:cxn>
                            <a:cxn ang="0">
                              <a:pos x="connsiteX1" y="connsiteY1"/>
                            </a:cxn>
                            <a:cxn ang="0">
                              <a:pos x="connsiteX2" y="connsiteY2"/>
                            </a:cxn>
                            <a:cxn ang="0">
                              <a:pos x="connsiteX3" y="connsiteY3"/>
                            </a:cxn>
                          </a:cxnLst>
                          <a:rect l="l" t="t" r="r" b="b"/>
                          <a:pathLst>
                            <a:path w="5829300" h="1521142">
                              <a:moveTo>
                                <a:pt x="5829300" y="0"/>
                              </a:moveTo>
                              <a:lnTo>
                                <a:pt x="0" y="0"/>
                              </a:lnTo>
                              <a:lnTo>
                                <a:pt x="0" y="1521143"/>
                              </a:lnTo>
                              <a:cubicBezTo>
                                <a:pt x="342900" y="218123"/>
                                <a:pt x="673418" y="44768"/>
                                <a:pt x="5829300" y="0"/>
                              </a:cubicBezTo>
                              <a:close/>
                            </a:path>
                          </a:pathLst>
                        </a:custGeom>
                        <a:solidFill>
                          <a:schemeClr val="accent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CADF5" id="Graphic 1" o:spid="_x0000_s1026" alt="&quot;&quot;" style="position:absolute;margin-left:-1in;margin-top:-71.15pt;width:611pt;height:13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29300,152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NCYgMAAG4IAAAOAAAAZHJzL2Uyb0RvYy54bWysVttu4zYQfS/QfyD4WKDRxXIcG3EWaYIU&#10;BYLdAEmx20eaoiIBFMmS9CX79XtISQ6TdpFs0Rd5qJk5nDkzmvH5h0MvyU5Y12m1psVJTolQXNed&#10;elzTPx9ufj2jxHmmaia1Emv6JBz9cPHzT+d7sxKlbrWshSUAUW61N2vaem9WWeZ4K3rmTrQRCspG&#10;2555HO1jVlu2B3ovszLPT7O9trWxmgvn8PZ6UNKLiN80gvtPTeOEJ3JNEZuPTxufm/DMLs7Z6tEy&#10;03Z8DIP9hyh61ilceoS6Zp6Rre3+AdV33GqnG3/CdZ/ppum4iDkgmyJ/lc19y4yIuYAcZ440uf8P&#10;ln/c3Zs7Cxr2xq0cxJDFobF9+EV85BDJejqSJQ6ecLxcLObLRQ5OOXTFIp+fFpHO7Nmdb53/XegI&#10;xXa3zg9s15AiVzVRrEdTcK2U67z4ArSmlyjALxmZn5XLWZ6T/SSNtXrt9FfqlJOWFPOyKKryO+Zf&#10;iuSOd6C/NH8Tvfwx9NR8iHv2dgaz5I53s5Q6vWIJFXucasLaqUz8oMY6QSIsfM95bHGjXWiKtGjo&#10;gOmIcqDKgIRXKPIbzqA3dS5+yBnspc6x5O++GYSkzrP05gFkTN9iiITxIeP48JRgfFhKMD42Q48Z&#10;5gNrIdsgkv2ajmWhpMW3MfZj0Pd6Jx50tPSBxKMdQpmIe7aRKrVFnydWk276NRFvsBk7acxosuDb&#10;Tcd/E19TzFlVLsM3DOCyOCvKyALSiGCni1lVYH5DWVWL07Mx2+8G/vICLrUTQysEVmJPHJkKBCfD&#10;wWnZ1TedlIGZOPvFlbRkx0A741woX43JvLCUKnC9nJdzTCGG7dFI5mOPKh3Q4rgx1vlr5toBLfoP&#10;ifSYOHYIUKJVs+cBGKSNrp/uLLF6WBnO8JsOSLfM+TtmMaLAGvae/4RHIzXiQGmjhKJr+/Xf3gd7&#10;jG5oKdlj56yp+3vLrKBE/qEw1JdFVQHWx0M1X5Q42FSzSTVq219pEIRPCNFFMdh7OYmN1f1nrMfL&#10;cCtUTHHcjU/Vo32Hw5XHGSosWC4uL6OMxYQ63ap7wwN4bFZk/nD4zKwhgc419dgCH/W0n9hqmu6o&#10;azAYbIOn0pdbr5sujP7I8MDreMBSi30xLuCwNdNztHr+m3DxDQAA//8DAFBLAwQUAAYACAAAACEA&#10;WWX/HOAAAAAOAQAADwAAAGRycy9kb3ducmV2LnhtbEyPQW/CMAyF75P2HyIj7QYpBXWoa4oQ0u6j&#10;IKTdQuO1hcapmtB2/35ml+32bD89fy/bTrYVA/a+caRguYhAIJXONFQpOB3f5xsQPmgyunWECr7R&#10;wzZ/fsp0atxIBxyKUAkOIZ9qBXUIXSqlL2u02i9ch8S3L9dbHXjsK2l6PXK4bWUcRYm0uiH+UOsO&#10;9zWWt+JuFeyT+Druzld5dMV0rk6Hz4+h7JR6mU27NxABp/Bnhgc+o0POTBd3J+NFq2C+XK+5TPhV&#10;8QrEwxO9bnh3YRUnK5B5Jv/XyH8AAAD//wMAUEsBAi0AFAAGAAgAAAAhALaDOJL+AAAA4QEAABMA&#10;AAAAAAAAAAAAAAAAAAAAAFtDb250ZW50X1R5cGVzXS54bWxQSwECLQAUAAYACAAAACEAOP0h/9YA&#10;AACUAQAACwAAAAAAAAAAAAAAAAAvAQAAX3JlbHMvLnJlbHNQSwECLQAUAAYACAAAACEAXuyDQmID&#10;AABuCAAADgAAAAAAAAAAAAAAAAAuAgAAZHJzL2Uyb0RvYy54bWxQSwECLQAUAAYACAAAACEAWWX/&#10;HOAAAAAOAQAADwAAAAAAAAAAAAAAAAC8BQAAZHJzL2Rvd25yZXYueG1sUEsFBgAAAAAEAAQA8wAA&#10;AMkGAAAAAA==&#10;" path="m5829300,l,,,1521143c342900,218123,673418,44768,5829300,xe" fillcolor="#046a38 [3207]" stroked="f">
                <v:stroke joinstyle="miter"/>
                <v:path arrowok="t" o:connecttype="custom" o:connectlocs="7759700,0;0,0;0,1705611;7759700,0" o:connectangles="0,0,0,0"/>
                <w10:wrap anchorx="margin"/>
              </v:shape>
            </w:pict>
          </mc:Fallback>
        </mc:AlternateContent>
      </w:r>
      <w:r w:rsidRPr="0084533E">
        <w:t>Informal Carers in Queensland</w:t>
      </w:r>
    </w:p>
    <w:p w14:paraId="74D8AA5D" w14:textId="2E2748FC" w:rsidR="009C1ACC" w:rsidRDefault="009C1ACC" w:rsidP="0084533E">
      <w:pPr>
        <w:spacing w:before="0" w:after="480" w:line="240" w:lineRule="auto"/>
        <w:rPr>
          <w:rFonts w:ascii="Open Sans Light" w:hAnsi="Open Sans Light" w:cs="Open Sans Light"/>
          <w:b/>
          <w:bCs/>
          <w:color w:val="3C8A2E"/>
          <w:sz w:val="40"/>
          <w:szCs w:val="40"/>
          <w:lang w:val="en-AU"/>
        </w:rPr>
      </w:pPr>
      <w:r w:rsidRPr="009C1ACC">
        <w:rPr>
          <w:rFonts w:ascii="Open Sans Light" w:hAnsi="Open Sans Light" w:cs="Open Sans Light"/>
          <w:b/>
          <w:bCs/>
          <w:color w:val="3C8A2E"/>
          <w:sz w:val="40"/>
          <w:szCs w:val="40"/>
          <w:lang w:val="en-AU"/>
        </w:rPr>
        <w:t>April 2025</w:t>
      </w:r>
    </w:p>
    <w:p w14:paraId="03CA7FAF" w14:textId="1976BA9C" w:rsidR="009C1ACC" w:rsidRPr="009C1ACC" w:rsidRDefault="009C1ACC" w:rsidP="0084533E">
      <w:pPr>
        <w:spacing w:before="0" w:after="240" w:line="240" w:lineRule="auto"/>
        <w:rPr>
          <w:rFonts w:ascii="Open Sans Light" w:eastAsia="Verdana" w:hAnsi="Open Sans Light" w:cs="Open Sans Light"/>
          <w:color w:val="000000"/>
          <w:sz w:val="22"/>
          <w:szCs w:val="22"/>
          <w:lang w:val="en-GB"/>
        </w:rPr>
      </w:pPr>
      <w:bookmarkStart w:id="0" w:name="_Hlk206142187"/>
      <w:bookmarkEnd w:id="0"/>
      <w:r w:rsidRPr="009C1ACC">
        <w:rPr>
          <w:rFonts w:ascii="Open Sans Light" w:eastAsia="Verdana" w:hAnsi="Open Sans Light" w:cs="Open Sans Light"/>
          <w:color w:val="000000"/>
          <w:sz w:val="22"/>
          <w:szCs w:val="22"/>
          <w:lang w:val="en-GB"/>
        </w:rPr>
        <w:t>Deloitte Access Economics’ report underscores the need for Queensland to maintain a strong focus on supporting informal carers and the requirement for effective collaboration between state and federal governments, healthcare providers and community organisations. The value of informal carers to the Queensland economy is both substantial and growing, but sustaining it appropriately depends on ensuring that carers have access to adequate support. Without these necessary resources, carers may struggle to continue providing care, impacting their wellbeing, their care recipients, and the broader healthcare system.</w:t>
      </w:r>
    </w:p>
    <w:p w14:paraId="7A7210C5" w14:textId="77777777" w:rsidR="009C1ACC" w:rsidRPr="0084533E" w:rsidRDefault="009C1ACC" w:rsidP="0084533E">
      <w:pPr>
        <w:pStyle w:val="Heading2"/>
      </w:pPr>
      <w:r w:rsidRPr="0084533E">
        <w:t>What is an informal carer?</w:t>
      </w:r>
    </w:p>
    <w:p w14:paraId="04FA5506" w14:textId="77777777" w:rsidR="009C1ACC" w:rsidRPr="009C1ACC" w:rsidRDefault="009C1ACC" w:rsidP="0084533E">
      <w:pPr>
        <w:spacing w:before="0" w:after="240" w:line="240" w:lineRule="auto"/>
        <w:rPr>
          <w:rFonts w:ascii="Open Sans Light" w:eastAsia="Verdana" w:hAnsi="Open Sans Light" w:cs="Open Sans Light"/>
          <w:color w:val="000000"/>
          <w:sz w:val="22"/>
          <w:szCs w:val="22"/>
          <w:lang w:val="en-GB"/>
        </w:rPr>
      </w:pPr>
      <w:r w:rsidRPr="009C1ACC">
        <w:rPr>
          <w:rFonts w:ascii="Open Sans Light" w:eastAsia="Verdana" w:hAnsi="Open Sans Light" w:cs="Open Sans Light"/>
          <w:color w:val="000000"/>
          <w:sz w:val="22"/>
          <w:szCs w:val="22"/>
          <w:lang w:val="en-GB"/>
        </w:rPr>
        <w:t xml:space="preserve">Informal carers provide unpaid support to older people or people with a disability. The care that they provide is significant to the lives of the individuals they care for, their families, and the broader community. However, their value is largely unrecognised by society and the </w:t>
      </w:r>
      <w:proofErr w:type="gramStart"/>
      <w:r w:rsidRPr="009C1ACC">
        <w:rPr>
          <w:rFonts w:ascii="Open Sans Light" w:eastAsia="Verdana" w:hAnsi="Open Sans Light" w:cs="Open Sans Light"/>
          <w:color w:val="000000"/>
          <w:sz w:val="22"/>
          <w:szCs w:val="22"/>
          <w:lang w:val="en-GB"/>
        </w:rPr>
        <w:t>economy, and</w:t>
      </w:r>
      <w:proofErr w:type="gramEnd"/>
      <w:r w:rsidRPr="009C1ACC">
        <w:rPr>
          <w:rFonts w:ascii="Open Sans Light" w:eastAsia="Verdana" w:hAnsi="Open Sans Light" w:cs="Open Sans Light"/>
          <w:color w:val="000000"/>
          <w:sz w:val="22"/>
          <w:szCs w:val="22"/>
          <w:lang w:val="en-GB"/>
        </w:rPr>
        <w:t xml:space="preserve"> is not captured in formal economic measures like GDP.</w:t>
      </w:r>
    </w:p>
    <w:p w14:paraId="17F21284" w14:textId="206E5525" w:rsidR="009C1ACC" w:rsidRPr="00D46D76" w:rsidRDefault="00312D96" w:rsidP="0084533E">
      <w:pPr>
        <w:pStyle w:val="Heading2"/>
      </w:pPr>
      <w:r w:rsidRPr="00D46D76">
        <w:t>The report’s key findings include:</w:t>
      </w:r>
    </w:p>
    <w:p w14:paraId="53A242B0" w14:textId="059B1596" w:rsidR="009C1ACC" w:rsidRPr="00B25CA1" w:rsidRDefault="009C1ACC" w:rsidP="00D46D76">
      <w:pPr>
        <w:pStyle w:val="ListParagraph"/>
        <w:numPr>
          <w:ilvl w:val="0"/>
          <w:numId w:val="6"/>
        </w:numPr>
        <w:spacing w:before="0" w:after="120" w:line="259" w:lineRule="auto"/>
        <w:ind w:left="714" w:hanging="357"/>
        <w:contextualSpacing w:val="0"/>
        <w:rPr>
          <w:rFonts w:ascii="Open Sans Light" w:eastAsia="Aptos" w:hAnsi="Open Sans Light" w:cs="Open Sans Light"/>
          <w:kern w:val="2"/>
          <w:sz w:val="22"/>
          <w:szCs w:val="22"/>
          <w:lang w:val="en-US"/>
          <w14:ligatures w14:val="standardContextual"/>
        </w:rPr>
      </w:pPr>
      <w:r w:rsidRPr="00B25CA1">
        <w:rPr>
          <w:rFonts w:ascii="Open Sans Light" w:eastAsia="Aptos" w:hAnsi="Open Sans Light" w:cs="Open Sans Light"/>
          <w:kern w:val="2"/>
          <w:sz w:val="22"/>
          <w:szCs w:val="22"/>
          <w:lang w:val="en-US"/>
          <w14:ligatures w14:val="standardContextual"/>
        </w:rPr>
        <w:t>Queensland was home to 657,000 informal carers in 2022, meaning just over one in eight Queenslanders provided informal care.</w:t>
      </w:r>
    </w:p>
    <w:p w14:paraId="7EE9007C" w14:textId="3596A885" w:rsidR="009C1ACC" w:rsidRPr="00B25CA1" w:rsidRDefault="009C1ACC" w:rsidP="00D46D76">
      <w:pPr>
        <w:pStyle w:val="ListParagraph"/>
        <w:numPr>
          <w:ilvl w:val="0"/>
          <w:numId w:val="6"/>
        </w:numPr>
        <w:spacing w:before="0" w:after="120" w:line="259" w:lineRule="auto"/>
        <w:ind w:left="714" w:hanging="357"/>
        <w:contextualSpacing w:val="0"/>
        <w:rPr>
          <w:rFonts w:ascii="Open Sans Light" w:eastAsia="Aptos" w:hAnsi="Open Sans Light" w:cs="Open Sans Light"/>
          <w:color w:val="000000"/>
          <w:kern w:val="2"/>
          <w:sz w:val="22"/>
          <w:szCs w:val="22"/>
          <w:lang w:val="en-US"/>
          <w14:ligatures w14:val="standardContextual"/>
        </w:rPr>
      </w:pPr>
      <w:r w:rsidRPr="00B25CA1">
        <w:rPr>
          <w:rFonts w:ascii="Open Sans Light" w:eastAsia="Aptos" w:hAnsi="Open Sans Light" w:cs="Open Sans Light"/>
          <w:color w:val="000000"/>
          <w:kern w:val="2"/>
          <w:sz w:val="22"/>
          <w:szCs w:val="22"/>
          <w:lang w:val="en-US"/>
          <w14:ligatures w14:val="standardContextual"/>
        </w:rPr>
        <w:t>657,000 informal carers provided 484 million hours of unpaid care in Queensland in 2022. The economic value of this care to the Queensland economy is estimated to be approximately $22.5 billion.</w:t>
      </w:r>
    </w:p>
    <w:p w14:paraId="4BC4A043" w14:textId="77777777" w:rsidR="009C1ACC" w:rsidRPr="00B25CA1" w:rsidRDefault="009C1ACC" w:rsidP="00D46D76">
      <w:pPr>
        <w:pStyle w:val="ListParagraph"/>
        <w:numPr>
          <w:ilvl w:val="0"/>
          <w:numId w:val="6"/>
        </w:numPr>
        <w:spacing w:before="0" w:after="120" w:line="259" w:lineRule="auto"/>
        <w:ind w:left="714" w:hanging="357"/>
        <w:contextualSpacing w:val="0"/>
        <w:rPr>
          <w:rFonts w:ascii="Open Sans Light" w:eastAsia="Aptos" w:hAnsi="Open Sans Light" w:cs="Open Sans Light"/>
          <w:kern w:val="2"/>
          <w:sz w:val="22"/>
          <w:szCs w:val="22"/>
          <w:lang w:val="en-US"/>
          <w14:ligatures w14:val="standardContextual"/>
        </w:rPr>
      </w:pPr>
      <w:r w:rsidRPr="00B25CA1">
        <w:rPr>
          <w:rFonts w:ascii="Open Sans Light" w:eastAsia="Aptos" w:hAnsi="Open Sans Light" w:cs="Open Sans Light"/>
          <w:kern w:val="2"/>
          <w:sz w:val="22"/>
          <w:szCs w:val="22"/>
          <w:lang w:val="en-US"/>
          <w14:ligatures w14:val="standardContextual"/>
        </w:rPr>
        <w:t xml:space="preserve">While a range of services are available to carers across the state, over 40% of carers report unmet needs relating to support services. Respite care is consistently identified as the major gap for informal carers. </w:t>
      </w:r>
    </w:p>
    <w:p w14:paraId="54B3EC90" w14:textId="0C8B9BED" w:rsidR="007908EC" w:rsidRDefault="009C1ACC" w:rsidP="0084533E">
      <w:pPr>
        <w:spacing w:before="3360" w:after="160" w:line="259" w:lineRule="auto"/>
        <w:rPr>
          <w:rFonts w:ascii="Open Sans Light" w:hAnsi="Open Sans Light" w:cs="Open Sans Light"/>
          <w:b/>
          <w:bCs/>
          <w:color w:val="000000" w:themeColor="text1"/>
          <w:sz w:val="26"/>
          <w:szCs w:val="26"/>
          <w:u w:val="thick" w:color="86BC25" w:themeColor="accent1"/>
          <w:lang w:val="en-US"/>
        </w:rPr>
      </w:pPr>
      <w:r w:rsidRPr="009C1ACC">
        <w:rPr>
          <w:rFonts w:ascii="Open Sans Light" w:eastAsia="Aptos" w:hAnsi="Open Sans Light" w:cs="Open Sans Light"/>
          <w:i/>
          <w:iCs/>
          <w:kern w:val="2"/>
          <w:sz w:val="22"/>
          <w:szCs w:val="22"/>
          <w:lang w:val="en-US"/>
          <w14:ligatures w14:val="standardContextual"/>
        </w:rPr>
        <w:t>Deloitte Access Economics was engaged by the Department of Families, Seniors, Disability Services and Child Safety (DFSDSCS) to support the development of a robust evidence base on informal carers in Queensland to inform future advice to government regarding carer supports and services that sustain the carer role. Please refer to the full report for more detail, including for all references to data and analysis included in this document.</w:t>
      </w:r>
      <w:r w:rsidR="007908EC">
        <w:rPr>
          <w:rFonts w:ascii="Open Sans Light" w:hAnsi="Open Sans Light" w:cs="Open Sans Light"/>
          <w:b/>
          <w:bCs/>
          <w:color w:val="000000" w:themeColor="text1"/>
          <w:sz w:val="26"/>
          <w:szCs w:val="26"/>
          <w:u w:val="thick" w:color="86BC25" w:themeColor="accent1"/>
          <w:lang w:val="en-US"/>
        </w:rPr>
        <w:br w:type="page"/>
      </w:r>
    </w:p>
    <w:p w14:paraId="5CBEE74D" w14:textId="4AA81DD9" w:rsidR="008F6206" w:rsidRPr="00276026" w:rsidRDefault="009C1ACC" w:rsidP="00996EA4">
      <w:pPr>
        <w:spacing w:before="0" w:after="120" w:line="240" w:lineRule="auto"/>
        <w:rPr>
          <w:rFonts w:ascii="Open Sans Light" w:hAnsi="Open Sans Light" w:cs="Open Sans Light"/>
          <w:b/>
          <w:bCs/>
          <w:color w:val="000000" w:themeColor="text1"/>
          <w:sz w:val="24"/>
          <w:szCs w:val="24"/>
          <w:u w:color="86BC25" w:themeColor="accent1"/>
          <w:lang w:val="en-US"/>
        </w:rPr>
      </w:pPr>
      <w:r w:rsidRPr="00276026">
        <w:rPr>
          <w:rFonts w:ascii="Open Sans Light" w:hAnsi="Open Sans Light" w:cs="Open Sans Light"/>
          <w:b/>
          <w:bCs/>
          <w:color w:val="000000" w:themeColor="text1"/>
          <w:sz w:val="24"/>
          <w:szCs w:val="24"/>
          <w:u w:color="86BC25" w:themeColor="accent1"/>
          <w:lang w:val="en-US"/>
        </w:rPr>
        <w:lastRenderedPageBreak/>
        <w:t>One in eight Queenslander</w:t>
      </w:r>
      <w:r w:rsidR="00996EA4" w:rsidRPr="00276026">
        <w:rPr>
          <w:rFonts w:ascii="Open Sans Light" w:hAnsi="Open Sans Light" w:cs="Open Sans Light"/>
          <w:b/>
          <w:bCs/>
          <w:color w:val="000000" w:themeColor="text1"/>
          <w:sz w:val="24"/>
          <w:szCs w:val="24"/>
          <w:u w:color="86BC25" w:themeColor="accent1"/>
          <w:lang w:val="en-US"/>
        </w:rPr>
        <w:t>s</w:t>
      </w:r>
      <w:r w:rsidRPr="00276026">
        <w:rPr>
          <w:rFonts w:ascii="Open Sans Light" w:hAnsi="Open Sans Light" w:cs="Open Sans Light"/>
          <w:b/>
          <w:bCs/>
          <w:color w:val="000000" w:themeColor="text1"/>
          <w:sz w:val="24"/>
          <w:szCs w:val="24"/>
          <w:u w:color="86BC25" w:themeColor="accent1"/>
          <w:lang w:val="en-US"/>
        </w:rPr>
        <w:t xml:space="preserve"> provided informal care in 2022. </w:t>
      </w:r>
    </w:p>
    <w:p w14:paraId="68BA46F8" w14:textId="77777777" w:rsidR="009C1ACC" w:rsidRPr="00996EA4" w:rsidRDefault="009C1ACC" w:rsidP="00996EA4">
      <w:pPr>
        <w:numPr>
          <w:ilvl w:val="0"/>
          <w:numId w:val="2"/>
        </w:numPr>
        <w:spacing w:before="0" w:after="120" w:line="259" w:lineRule="auto"/>
        <w:rPr>
          <w:rFonts w:ascii="Open Sans Light" w:eastAsia="Aptos" w:hAnsi="Open Sans Light" w:cs="Open Sans Light"/>
          <w:kern w:val="2"/>
          <w:sz w:val="22"/>
          <w:szCs w:val="22"/>
          <w:lang w:val="en-US"/>
          <w14:ligatures w14:val="standardContextual"/>
        </w:rPr>
      </w:pPr>
      <w:r w:rsidRPr="00996EA4">
        <w:rPr>
          <w:rFonts w:ascii="Open Sans Light" w:eastAsia="Aptos" w:hAnsi="Open Sans Light" w:cs="Open Sans Light"/>
          <w:kern w:val="2"/>
          <w:sz w:val="22"/>
          <w:szCs w:val="22"/>
          <w:lang w:val="en-US"/>
          <w14:ligatures w14:val="standardContextual"/>
        </w:rPr>
        <w:t>Most informal carers in Queensland are female (55%), with an average age of 49.5 years old.</w:t>
      </w:r>
    </w:p>
    <w:p w14:paraId="4D4181F8" w14:textId="43C53E7D" w:rsidR="009C1ACC" w:rsidRPr="00996EA4" w:rsidRDefault="009C1ACC" w:rsidP="00996EA4">
      <w:pPr>
        <w:numPr>
          <w:ilvl w:val="0"/>
          <w:numId w:val="2"/>
        </w:numPr>
        <w:spacing w:before="0" w:after="120" w:line="259" w:lineRule="auto"/>
        <w:rPr>
          <w:rFonts w:ascii="Open Sans Light" w:eastAsia="Aptos" w:hAnsi="Open Sans Light" w:cs="Open Sans Light"/>
          <w:kern w:val="2"/>
          <w:sz w:val="22"/>
          <w:szCs w:val="22"/>
          <w:lang w:val="en-US"/>
          <w14:ligatures w14:val="standardContextual"/>
        </w:rPr>
      </w:pPr>
      <w:r w:rsidRPr="00996EA4">
        <w:rPr>
          <w:rFonts w:ascii="Open Sans Light" w:eastAsia="Aptos" w:hAnsi="Open Sans Light" w:cs="Open Sans Light"/>
          <w:kern w:val="2"/>
          <w:sz w:val="22"/>
          <w:szCs w:val="22"/>
          <w:lang w:val="en-US"/>
          <w14:ligatures w14:val="standardContextual"/>
        </w:rPr>
        <w:t xml:space="preserve">Almost half (46%) of primary informal carers in Queensland are not participating in the </w:t>
      </w:r>
      <w:proofErr w:type="spellStart"/>
      <w:r w:rsidRPr="00996EA4">
        <w:rPr>
          <w:rFonts w:ascii="Open Sans Light" w:eastAsia="Aptos" w:hAnsi="Open Sans Light" w:cs="Open Sans Light"/>
          <w:kern w:val="2"/>
          <w:sz w:val="22"/>
          <w:szCs w:val="22"/>
          <w:lang w:val="en-US"/>
          <w14:ligatures w14:val="standardContextual"/>
        </w:rPr>
        <w:t>labour</w:t>
      </w:r>
      <w:proofErr w:type="spellEnd"/>
      <w:r w:rsidRPr="00996EA4">
        <w:rPr>
          <w:rFonts w:ascii="Open Sans Light" w:eastAsia="Aptos" w:hAnsi="Open Sans Light" w:cs="Open Sans Light"/>
          <w:kern w:val="2"/>
          <w:sz w:val="22"/>
          <w:szCs w:val="22"/>
          <w:lang w:val="en-US"/>
          <w14:ligatures w14:val="standardContextual"/>
        </w:rPr>
        <w:t xml:space="preserve"> market, compared to 30% of non-carers.</w:t>
      </w:r>
      <w:r w:rsidRPr="00996EA4">
        <w:rPr>
          <w:rFonts w:ascii="Open Sans Light" w:eastAsia="Aptos" w:hAnsi="Open Sans Light" w:cs="Open Sans Light"/>
          <w:kern w:val="2"/>
          <w:sz w:val="22"/>
          <w:szCs w:val="22"/>
          <w:vertAlign w:val="superscript"/>
          <w:lang w:val="en-US"/>
          <w14:ligatures w14:val="standardContextual"/>
        </w:rPr>
        <w:t>1</w:t>
      </w:r>
    </w:p>
    <w:p w14:paraId="6523D3D2" w14:textId="77777777" w:rsidR="009C1ACC" w:rsidRPr="00996EA4" w:rsidRDefault="009C1ACC" w:rsidP="00996EA4">
      <w:pPr>
        <w:numPr>
          <w:ilvl w:val="0"/>
          <w:numId w:val="2"/>
        </w:numPr>
        <w:spacing w:before="0" w:after="120" w:line="259" w:lineRule="auto"/>
        <w:rPr>
          <w:rFonts w:ascii="Open Sans Light" w:eastAsia="Aptos" w:hAnsi="Open Sans Light" w:cs="Open Sans Light"/>
          <w:kern w:val="2"/>
          <w:sz w:val="22"/>
          <w:szCs w:val="22"/>
          <w:lang w:val="en-US"/>
          <w14:ligatures w14:val="standardContextual"/>
        </w:rPr>
      </w:pPr>
      <w:r w:rsidRPr="00996EA4">
        <w:rPr>
          <w:rFonts w:ascii="Open Sans Light" w:eastAsia="Aptos" w:hAnsi="Open Sans Light" w:cs="Open Sans Light"/>
          <w:kern w:val="2"/>
          <w:sz w:val="22"/>
          <w:szCs w:val="22"/>
          <w:lang w:val="en-US"/>
          <w14:ligatures w14:val="standardContextual"/>
        </w:rPr>
        <w:t xml:space="preserve">Lower participation in the </w:t>
      </w:r>
      <w:proofErr w:type="spellStart"/>
      <w:r w:rsidRPr="00996EA4">
        <w:rPr>
          <w:rFonts w:ascii="Open Sans Light" w:eastAsia="Aptos" w:hAnsi="Open Sans Light" w:cs="Open Sans Light"/>
          <w:kern w:val="2"/>
          <w:sz w:val="22"/>
          <w:szCs w:val="22"/>
          <w:lang w:val="en-US"/>
          <w14:ligatures w14:val="standardContextual"/>
        </w:rPr>
        <w:t>labour</w:t>
      </w:r>
      <w:proofErr w:type="spellEnd"/>
      <w:r w:rsidRPr="00996EA4">
        <w:rPr>
          <w:rFonts w:ascii="Open Sans Light" w:eastAsia="Aptos" w:hAnsi="Open Sans Light" w:cs="Open Sans Light"/>
          <w:kern w:val="2"/>
          <w:sz w:val="22"/>
          <w:szCs w:val="22"/>
          <w:lang w:val="en-US"/>
          <w14:ligatures w14:val="standardContextual"/>
        </w:rPr>
        <w:t xml:space="preserve"> market negatively affects the income and superannuation earnings of carers. Caring may also impact the mental health and social connection of carers. </w:t>
      </w:r>
    </w:p>
    <w:p w14:paraId="63725690" w14:textId="612F3D58" w:rsidR="009C1ACC" w:rsidRPr="00276026" w:rsidRDefault="009C1ACC" w:rsidP="00462203">
      <w:pPr>
        <w:spacing w:before="0" w:after="120" w:line="240" w:lineRule="auto"/>
        <w:rPr>
          <w:rFonts w:ascii="Open Sans Light" w:hAnsi="Open Sans Light" w:cs="Open Sans Light"/>
          <w:b/>
          <w:bCs/>
          <w:sz w:val="24"/>
          <w:szCs w:val="24"/>
          <w:u w:color="86BC25" w:themeColor="accent1"/>
          <w:vertAlign w:val="superscript"/>
          <w:lang w:val="en-AU"/>
        </w:rPr>
      </w:pPr>
      <w:r w:rsidRPr="00276026">
        <w:rPr>
          <w:rFonts w:ascii="Open Sans Light" w:hAnsi="Open Sans Light" w:cs="Open Sans Light"/>
          <w:b/>
          <w:bCs/>
          <w:color w:val="000000" w:themeColor="text1"/>
          <w:sz w:val="24"/>
          <w:szCs w:val="24"/>
          <w:u w:color="86BC25" w:themeColor="accent1"/>
          <w:lang w:val="en-US"/>
        </w:rPr>
        <w:t>Estimated cost to replace Queensland’s informal carers with paid workers is $22.5 billion.</w:t>
      </w:r>
      <w:r w:rsidRPr="00276026">
        <w:rPr>
          <w:rFonts w:ascii="Open Sans Light" w:hAnsi="Open Sans Light" w:cs="Open Sans Light"/>
          <w:b/>
          <w:bCs/>
          <w:sz w:val="24"/>
          <w:szCs w:val="24"/>
          <w:u w:color="86BC25" w:themeColor="accent1"/>
          <w:vertAlign w:val="superscript"/>
          <w:lang w:val="en-AU"/>
        </w:rPr>
        <w:t>2</w:t>
      </w:r>
    </w:p>
    <w:p w14:paraId="1B8D14B8" w14:textId="77777777" w:rsidR="009C1ACC" w:rsidRPr="00996EA4" w:rsidRDefault="009C1ACC" w:rsidP="00462203">
      <w:pPr>
        <w:numPr>
          <w:ilvl w:val="0"/>
          <w:numId w:val="3"/>
        </w:numPr>
        <w:spacing w:before="0" w:after="120" w:line="259" w:lineRule="auto"/>
        <w:ind w:left="714" w:hanging="357"/>
        <w:rPr>
          <w:rFonts w:ascii="Open Sans Light" w:eastAsia="Aptos" w:hAnsi="Open Sans Light" w:cs="Open Sans Light"/>
          <w:kern w:val="2"/>
          <w:sz w:val="22"/>
          <w:szCs w:val="22"/>
          <w:lang w:val="en-US"/>
          <w14:ligatures w14:val="standardContextual"/>
        </w:rPr>
      </w:pPr>
      <w:r w:rsidRPr="00996EA4">
        <w:rPr>
          <w:rFonts w:ascii="Open Sans Light" w:eastAsia="Aptos" w:hAnsi="Open Sans Light" w:cs="Open Sans Light"/>
          <w:kern w:val="2"/>
          <w:sz w:val="22"/>
          <w:szCs w:val="22"/>
          <w:lang w:val="en-US"/>
          <w14:ligatures w14:val="standardContextual"/>
        </w:rPr>
        <w:t xml:space="preserve">This value equates to nearly half the economic output of Queensland’s entire healthcare and social assistance sector in 2024. </w:t>
      </w:r>
    </w:p>
    <w:p w14:paraId="2B24E4EE" w14:textId="58E93F42" w:rsidR="009C1ACC" w:rsidRDefault="009C1ACC" w:rsidP="00462203">
      <w:pPr>
        <w:numPr>
          <w:ilvl w:val="0"/>
          <w:numId w:val="3"/>
        </w:numPr>
        <w:spacing w:before="0" w:after="120" w:line="259" w:lineRule="auto"/>
        <w:ind w:left="714" w:hanging="357"/>
        <w:rPr>
          <w:rFonts w:ascii="Open Sans Light" w:eastAsia="Aptos" w:hAnsi="Open Sans Light" w:cs="Open Sans Light"/>
          <w:kern w:val="2"/>
          <w:sz w:val="22"/>
          <w:szCs w:val="22"/>
          <w:lang w:val="en-US"/>
          <w14:ligatures w14:val="standardContextual"/>
        </w:rPr>
      </w:pPr>
      <w:r w:rsidRPr="00996EA4">
        <w:rPr>
          <w:rFonts w:ascii="Open Sans Light" w:eastAsia="Aptos" w:hAnsi="Open Sans Light" w:cs="Open Sans Light"/>
          <w:kern w:val="2"/>
          <w:sz w:val="22"/>
          <w:szCs w:val="22"/>
          <w:lang w:val="en-US"/>
          <w14:ligatures w14:val="standardContextual"/>
        </w:rPr>
        <w:t>Just over 20% of primary carers provide more than 60 hours of care per week.</w:t>
      </w:r>
      <w:r w:rsidRPr="00996EA4">
        <w:rPr>
          <w:rFonts w:ascii="Open Sans Light" w:eastAsia="Aptos" w:hAnsi="Open Sans Light" w:cs="Open Sans Light"/>
          <w:kern w:val="2"/>
          <w:sz w:val="22"/>
          <w:szCs w:val="22"/>
          <w:vertAlign w:val="superscript"/>
          <w:lang w:val="en-US"/>
          <w14:ligatures w14:val="standardContextual"/>
        </w:rPr>
        <w:t>3</w:t>
      </w:r>
      <w:r w:rsidRPr="00996EA4">
        <w:rPr>
          <w:rFonts w:ascii="Open Sans Light" w:eastAsia="Aptos" w:hAnsi="Open Sans Light" w:cs="Open Sans Light"/>
          <w:kern w:val="2"/>
          <w:sz w:val="22"/>
          <w:szCs w:val="22"/>
          <w:lang w:val="en-US"/>
          <w14:ligatures w14:val="standardContextual"/>
        </w:rPr>
        <w:t xml:space="preserve"> </w:t>
      </w:r>
    </w:p>
    <w:p w14:paraId="2C2D1BF9" w14:textId="32736BD3" w:rsidR="00535778" w:rsidRPr="009F0A4B" w:rsidRDefault="000830D7" w:rsidP="00462203">
      <w:pPr>
        <w:spacing w:before="0" w:after="120" w:line="259" w:lineRule="auto"/>
        <w:ind w:left="714" w:hanging="357"/>
        <w:rPr>
          <w:rFonts w:ascii="Open Sans Light" w:eastAsia="Aptos" w:hAnsi="Open Sans Light" w:cs="Open Sans Light"/>
          <w:i/>
          <w:iCs/>
          <w:kern w:val="2"/>
          <w:sz w:val="22"/>
          <w:szCs w:val="22"/>
          <w:lang w:val="en-US"/>
          <w14:ligatures w14:val="standardContextual"/>
        </w:rPr>
      </w:pPr>
      <w:r w:rsidRPr="009F0A4B">
        <w:rPr>
          <w:rFonts w:ascii="Open Sans Light" w:eastAsia="Aptos" w:hAnsi="Open Sans Light" w:cs="Open Sans Light"/>
          <w:i/>
          <w:iCs/>
          <w:kern w:val="2"/>
          <w:sz w:val="22"/>
          <w:szCs w:val="22"/>
          <w:lang w:val="en-US"/>
          <w14:ligatures w14:val="standardContextual"/>
        </w:rPr>
        <w:t xml:space="preserve">Table: </w:t>
      </w:r>
      <w:r w:rsidR="009F0A4B" w:rsidRPr="009F0A4B">
        <w:rPr>
          <w:rFonts w:ascii="Open Sans Light" w:eastAsia="Aptos" w:hAnsi="Open Sans Light" w:cs="Open Sans Light"/>
          <w:i/>
          <w:iCs/>
          <w:kern w:val="2"/>
          <w:sz w:val="22"/>
          <w:szCs w:val="22"/>
          <w:lang w:val="en-US"/>
          <w14:ligatures w14:val="standardContextual"/>
        </w:rPr>
        <w:t>Average hours of care provided per week by carer type, 2022</w:t>
      </w:r>
    </w:p>
    <w:tbl>
      <w:tblPr>
        <w:tblStyle w:val="Deloittetable"/>
        <w:tblW w:w="4887" w:type="pct"/>
        <w:tblLook w:val="04A0" w:firstRow="1" w:lastRow="0" w:firstColumn="1" w:lastColumn="0" w:noHBand="0" w:noVBand="1"/>
        <w:tblCaption w:val="Table: Average hours of care provided per week by carer type, 2022"/>
        <w:tblDescription w:val="This table presents the average number of hours of care provided per week by the type of carer. Primary carers provide significantly more care than non-primary carers, with 21% providing more than 60 hours of care per week, compared with just 4% of non-primary carers."/>
      </w:tblPr>
      <w:tblGrid>
        <w:gridCol w:w="3823"/>
        <w:gridCol w:w="2204"/>
        <w:gridCol w:w="2795"/>
      </w:tblGrid>
      <w:tr w:rsidR="00D65079" w:rsidRPr="00375E15" w14:paraId="47EC1450" w14:textId="77777777" w:rsidTr="00535778">
        <w:trPr>
          <w:cnfStyle w:val="100000000000" w:firstRow="1" w:lastRow="0" w:firstColumn="0" w:lastColumn="0" w:oddVBand="0" w:evenVBand="0" w:oddHBand="0" w:evenHBand="0" w:firstRowFirstColumn="0" w:firstRowLastColumn="0" w:lastRowFirstColumn="0" w:lastRowLastColumn="0"/>
          <w:trHeight w:val="19"/>
        </w:trPr>
        <w:tc>
          <w:tcPr>
            <w:tcW w:w="2167" w:type="pct"/>
            <w:tcBorders>
              <w:top w:val="single" w:sz="24" w:space="0" w:color="86BC25" w:themeColor="accent1"/>
            </w:tcBorders>
          </w:tcPr>
          <w:p w14:paraId="737B59C1" w14:textId="1956902B" w:rsidR="00D65079" w:rsidRPr="002F5222" w:rsidRDefault="00D65079" w:rsidP="00535778">
            <w:pPr>
              <w:spacing w:line="200" w:lineRule="atLeast"/>
              <w:rPr>
                <w:rFonts w:eastAsia="Verdana"/>
                <w:b/>
                <w:bCs/>
                <w:sz w:val="20"/>
                <w:szCs w:val="20"/>
              </w:rPr>
            </w:pPr>
            <w:bookmarkStart w:id="1" w:name="_Hlk206142206"/>
            <w:r w:rsidRPr="002F5222">
              <w:rPr>
                <w:rFonts w:eastAsia="Verdana"/>
                <w:b/>
                <w:bCs/>
                <w:sz w:val="20"/>
                <w:szCs w:val="20"/>
              </w:rPr>
              <w:t>Average hours of care provided per week</w:t>
            </w:r>
          </w:p>
        </w:tc>
        <w:tc>
          <w:tcPr>
            <w:tcW w:w="1249" w:type="pct"/>
            <w:tcBorders>
              <w:top w:val="single" w:sz="24" w:space="0" w:color="86BC25" w:themeColor="accent1"/>
            </w:tcBorders>
          </w:tcPr>
          <w:p w14:paraId="5E2F2E0F" w14:textId="77777777" w:rsidR="00D65079" w:rsidRPr="002F5222" w:rsidRDefault="00D65079" w:rsidP="00535778">
            <w:pPr>
              <w:spacing w:line="200" w:lineRule="atLeast"/>
              <w:jc w:val="right"/>
              <w:rPr>
                <w:rFonts w:eastAsia="Verdana"/>
                <w:b/>
                <w:bCs/>
                <w:sz w:val="20"/>
                <w:szCs w:val="20"/>
              </w:rPr>
            </w:pPr>
            <w:r w:rsidRPr="002F5222">
              <w:rPr>
                <w:rFonts w:eastAsia="Verdana"/>
                <w:b/>
                <w:bCs/>
                <w:sz w:val="20"/>
                <w:szCs w:val="20"/>
              </w:rPr>
              <w:t>Primary Carers</w:t>
            </w:r>
          </w:p>
        </w:tc>
        <w:tc>
          <w:tcPr>
            <w:tcW w:w="1584" w:type="pct"/>
            <w:tcBorders>
              <w:top w:val="single" w:sz="24" w:space="0" w:color="86BC25" w:themeColor="accent1"/>
            </w:tcBorders>
          </w:tcPr>
          <w:p w14:paraId="5306D37C" w14:textId="77777777" w:rsidR="00D65079" w:rsidRPr="002F5222" w:rsidRDefault="00D65079" w:rsidP="00535778">
            <w:pPr>
              <w:spacing w:line="200" w:lineRule="atLeast"/>
              <w:jc w:val="right"/>
              <w:rPr>
                <w:rFonts w:eastAsia="Verdana"/>
                <w:b/>
                <w:bCs/>
                <w:sz w:val="20"/>
                <w:szCs w:val="20"/>
              </w:rPr>
            </w:pPr>
            <w:r w:rsidRPr="002F5222">
              <w:rPr>
                <w:rFonts w:eastAsia="Verdana"/>
                <w:b/>
                <w:bCs/>
                <w:sz w:val="20"/>
                <w:szCs w:val="20"/>
              </w:rPr>
              <w:t>Non-primary carers</w:t>
            </w:r>
          </w:p>
        </w:tc>
      </w:tr>
      <w:tr w:rsidR="00D65079" w:rsidRPr="00375E15" w14:paraId="3F8ED746" w14:textId="77777777" w:rsidTr="00535778">
        <w:trPr>
          <w:trHeight w:val="193"/>
        </w:trPr>
        <w:tc>
          <w:tcPr>
            <w:tcW w:w="2167" w:type="pct"/>
          </w:tcPr>
          <w:p w14:paraId="46D419DA" w14:textId="51F32254" w:rsidR="00D65079" w:rsidRPr="002F5222" w:rsidRDefault="00D65079" w:rsidP="00535778">
            <w:pPr>
              <w:spacing w:line="200" w:lineRule="atLeast"/>
              <w:rPr>
                <w:rFonts w:eastAsia="Verdana"/>
                <w:sz w:val="20"/>
                <w:szCs w:val="20"/>
              </w:rPr>
            </w:pPr>
            <w:r w:rsidRPr="002F5222">
              <w:rPr>
                <w:rFonts w:eastAsia="Verdana"/>
                <w:sz w:val="20"/>
                <w:szCs w:val="20"/>
              </w:rPr>
              <w:t>1-9 hours</w:t>
            </w:r>
          </w:p>
        </w:tc>
        <w:tc>
          <w:tcPr>
            <w:tcW w:w="1249" w:type="pct"/>
          </w:tcPr>
          <w:p w14:paraId="51F0A366"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43%</w:t>
            </w:r>
          </w:p>
        </w:tc>
        <w:tc>
          <w:tcPr>
            <w:tcW w:w="1584" w:type="pct"/>
          </w:tcPr>
          <w:p w14:paraId="17B96CC7"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71%</w:t>
            </w:r>
          </w:p>
        </w:tc>
      </w:tr>
      <w:tr w:rsidR="00D65079" w:rsidRPr="00375E15" w14:paraId="7548366E" w14:textId="77777777" w:rsidTr="00535778">
        <w:trPr>
          <w:trHeight w:val="193"/>
        </w:trPr>
        <w:tc>
          <w:tcPr>
            <w:tcW w:w="2167" w:type="pct"/>
          </w:tcPr>
          <w:p w14:paraId="65E56F1F" w14:textId="2218B0E9" w:rsidR="00D65079" w:rsidRPr="002F5222" w:rsidDel="00B91DFC" w:rsidRDefault="00D65079" w:rsidP="00535778">
            <w:pPr>
              <w:spacing w:line="200" w:lineRule="atLeast"/>
              <w:rPr>
                <w:rFonts w:eastAsia="Verdana"/>
                <w:sz w:val="20"/>
                <w:szCs w:val="20"/>
              </w:rPr>
            </w:pPr>
            <w:r w:rsidRPr="002F5222">
              <w:rPr>
                <w:rFonts w:eastAsia="Verdana"/>
                <w:sz w:val="20"/>
                <w:szCs w:val="20"/>
              </w:rPr>
              <w:t>10-19 hours</w:t>
            </w:r>
          </w:p>
        </w:tc>
        <w:tc>
          <w:tcPr>
            <w:tcW w:w="1249" w:type="pct"/>
          </w:tcPr>
          <w:p w14:paraId="2DE4D82C"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13%</w:t>
            </w:r>
          </w:p>
        </w:tc>
        <w:tc>
          <w:tcPr>
            <w:tcW w:w="1584" w:type="pct"/>
          </w:tcPr>
          <w:p w14:paraId="3F45D6A4"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15%</w:t>
            </w:r>
          </w:p>
        </w:tc>
      </w:tr>
      <w:tr w:rsidR="00D65079" w:rsidRPr="00375E15" w14:paraId="513CC30F" w14:textId="77777777" w:rsidTr="00535778">
        <w:trPr>
          <w:trHeight w:val="193"/>
        </w:trPr>
        <w:tc>
          <w:tcPr>
            <w:tcW w:w="2167" w:type="pct"/>
          </w:tcPr>
          <w:p w14:paraId="6E5D0688" w14:textId="77777777" w:rsidR="00D65079" w:rsidRPr="002F5222" w:rsidRDefault="00D65079" w:rsidP="00535778">
            <w:pPr>
              <w:spacing w:line="200" w:lineRule="atLeast"/>
              <w:rPr>
                <w:rFonts w:eastAsia="Verdana"/>
                <w:sz w:val="20"/>
                <w:szCs w:val="20"/>
              </w:rPr>
            </w:pPr>
            <w:r w:rsidRPr="002F5222">
              <w:rPr>
                <w:rFonts w:eastAsia="Verdana"/>
                <w:sz w:val="20"/>
                <w:szCs w:val="20"/>
              </w:rPr>
              <w:t>20-29 hours</w:t>
            </w:r>
          </w:p>
        </w:tc>
        <w:tc>
          <w:tcPr>
            <w:tcW w:w="1249" w:type="pct"/>
          </w:tcPr>
          <w:p w14:paraId="01D070E4"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10%</w:t>
            </w:r>
          </w:p>
        </w:tc>
        <w:tc>
          <w:tcPr>
            <w:tcW w:w="1584" w:type="pct"/>
          </w:tcPr>
          <w:p w14:paraId="34879A71"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11%</w:t>
            </w:r>
          </w:p>
        </w:tc>
      </w:tr>
      <w:tr w:rsidR="00D65079" w:rsidRPr="00375E15" w14:paraId="579A804F" w14:textId="77777777" w:rsidTr="00535778">
        <w:trPr>
          <w:trHeight w:val="19"/>
        </w:trPr>
        <w:tc>
          <w:tcPr>
            <w:tcW w:w="2167" w:type="pct"/>
          </w:tcPr>
          <w:p w14:paraId="2313F769" w14:textId="2CED8162" w:rsidR="00D65079" w:rsidRPr="002F5222" w:rsidRDefault="00D65079" w:rsidP="00535778">
            <w:pPr>
              <w:spacing w:line="200" w:lineRule="atLeast"/>
              <w:rPr>
                <w:rFonts w:eastAsia="Verdana"/>
                <w:sz w:val="20"/>
                <w:szCs w:val="20"/>
              </w:rPr>
            </w:pPr>
            <w:r w:rsidRPr="002F5222">
              <w:rPr>
                <w:rFonts w:eastAsia="Verdana"/>
                <w:sz w:val="20"/>
                <w:szCs w:val="20"/>
              </w:rPr>
              <w:t>30-39 hours</w:t>
            </w:r>
          </w:p>
        </w:tc>
        <w:tc>
          <w:tcPr>
            <w:tcW w:w="1249" w:type="pct"/>
          </w:tcPr>
          <w:p w14:paraId="50072C45"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7%</w:t>
            </w:r>
          </w:p>
        </w:tc>
        <w:tc>
          <w:tcPr>
            <w:tcW w:w="1584" w:type="pct"/>
          </w:tcPr>
          <w:p w14:paraId="3E3A2497"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0%</w:t>
            </w:r>
          </w:p>
        </w:tc>
      </w:tr>
      <w:tr w:rsidR="00D65079" w:rsidRPr="00375E15" w14:paraId="3B8AE52C" w14:textId="77777777" w:rsidTr="00535778">
        <w:trPr>
          <w:trHeight w:val="193"/>
        </w:trPr>
        <w:tc>
          <w:tcPr>
            <w:tcW w:w="2167" w:type="pct"/>
          </w:tcPr>
          <w:p w14:paraId="5D392D2A" w14:textId="77777777" w:rsidR="00D65079" w:rsidRPr="002F5222" w:rsidRDefault="00D65079" w:rsidP="00535778">
            <w:pPr>
              <w:spacing w:line="200" w:lineRule="atLeast"/>
              <w:rPr>
                <w:rFonts w:eastAsia="Verdana"/>
                <w:sz w:val="20"/>
                <w:szCs w:val="20"/>
              </w:rPr>
            </w:pPr>
            <w:r w:rsidRPr="002F5222">
              <w:rPr>
                <w:rFonts w:eastAsia="Verdana"/>
                <w:sz w:val="20"/>
                <w:szCs w:val="20"/>
              </w:rPr>
              <w:t>40-59 hours</w:t>
            </w:r>
          </w:p>
        </w:tc>
        <w:tc>
          <w:tcPr>
            <w:tcW w:w="1249" w:type="pct"/>
          </w:tcPr>
          <w:p w14:paraId="7586959F"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6%</w:t>
            </w:r>
          </w:p>
        </w:tc>
        <w:tc>
          <w:tcPr>
            <w:tcW w:w="1584" w:type="pct"/>
          </w:tcPr>
          <w:p w14:paraId="4726EE25"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0%</w:t>
            </w:r>
          </w:p>
        </w:tc>
      </w:tr>
      <w:tr w:rsidR="00D65079" w:rsidRPr="00375E15" w14:paraId="52DA5930" w14:textId="77777777" w:rsidTr="00535778">
        <w:trPr>
          <w:trHeight w:val="19"/>
        </w:trPr>
        <w:tc>
          <w:tcPr>
            <w:tcW w:w="2167" w:type="pct"/>
          </w:tcPr>
          <w:p w14:paraId="5A8699C1" w14:textId="796B2765" w:rsidR="00D65079" w:rsidRPr="002F5222" w:rsidRDefault="00D65079" w:rsidP="00535778">
            <w:pPr>
              <w:spacing w:line="200" w:lineRule="atLeast"/>
              <w:rPr>
                <w:rFonts w:eastAsia="Verdana"/>
                <w:sz w:val="20"/>
                <w:szCs w:val="20"/>
              </w:rPr>
            </w:pPr>
            <w:r w:rsidRPr="002F5222">
              <w:rPr>
                <w:rFonts w:eastAsia="Verdana"/>
                <w:sz w:val="20"/>
                <w:szCs w:val="20"/>
              </w:rPr>
              <w:t>60 hours or more</w:t>
            </w:r>
          </w:p>
        </w:tc>
        <w:tc>
          <w:tcPr>
            <w:tcW w:w="1249" w:type="pct"/>
          </w:tcPr>
          <w:p w14:paraId="78C579F8"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21%</w:t>
            </w:r>
          </w:p>
        </w:tc>
        <w:tc>
          <w:tcPr>
            <w:tcW w:w="1584" w:type="pct"/>
          </w:tcPr>
          <w:p w14:paraId="4AE51EC5" w14:textId="77777777" w:rsidR="00D65079" w:rsidRPr="002F5222" w:rsidRDefault="00D65079" w:rsidP="00535778">
            <w:pPr>
              <w:spacing w:line="200" w:lineRule="atLeast"/>
              <w:jc w:val="right"/>
              <w:rPr>
                <w:rFonts w:eastAsia="Verdana"/>
                <w:sz w:val="20"/>
                <w:szCs w:val="20"/>
              </w:rPr>
            </w:pPr>
            <w:r w:rsidRPr="002F5222">
              <w:rPr>
                <w:rFonts w:eastAsia="Verdana"/>
                <w:sz w:val="20"/>
                <w:szCs w:val="20"/>
              </w:rPr>
              <w:t>4%</w:t>
            </w:r>
          </w:p>
        </w:tc>
      </w:tr>
    </w:tbl>
    <w:bookmarkEnd w:id="1"/>
    <w:p w14:paraId="7E5A2988" w14:textId="1C4D12C3" w:rsidR="009C1ACC" w:rsidRPr="00276026" w:rsidRDefault="009C1ACC" w:rsidP="00D65079">
      <w:pPr>
        <w:spacing w:before="240" w:after="120" w:line="20" w:lineRule="atLeast"/>
        <w:rPr>
          <w:rFonts w:ascii="Open Sans Light" w:hAnsi="Open Sans Light" w:cs="Open Sans Light"/>
          <w:b/>
          <w:bCs/>
          <w:sz w:val="24"/>
          <w:szCs w:val="24"/>
          <w:u w:color="86BC25" w:themeColor="accent1"/>
          <w:vertAlign w:val="superscript"/>
          <w:lang w:val="en-AU"/>
        </w:rPr>
      </w:pPr>
      <w:r w:rsidRPr="00276026">
        <w:rPr>
          <w:rFonts w:ascii="Open Sans Light" w:hAnsi="Open Sans Light" w:cs="Open Sans Light"/>
          <w:b/>
          <w:bCs/>
          <w:sz w:val="24"/>
          <w:szCs w:val="24"/>
          <w:u w:color="86BC25" w:themeColor="accent1"/>
          <w:lang w:val="en-AU"/>
        </w:rPr>
        <w:t>40% of informal carers reported unmet service needs.</w:t>
      </w:r>
      <w:r w:rsidRPr="00276026">
        <w:rPr>
          <w:rFonts w:ascii="Open Sans Light" w:hAnsi="Open Sans Light" w:cs="Open Sans Light"/>
          <w:b/>
          <w:bCs/>
          <w:sz w:val="24"/>
          <w:szCs w:val="24"/>
          <w:u w:color="86BC25" w:themeColor="accent1"/>
          <w:vertAlign w:val="superscript"/>
          <w:lang w:val="en-AU"/>
        </w:rPr>
        <w:t>4</w:t>
      </w:r>
    </w:p>
    <w:p w14:paraId="13358FE7" w14:textId="5688F65A" w:rsidR="009C1ACC" w:rsidRPr="00996EA4" w:rsidRDefault="009C1ACC" w:rsidP="00D65079">
      <w:pPr>
        <w:numPr>
          <w:ilvl w:val="0"/>
          <w:numId w:val="4"/>
        </w:numPr>
        <w:spacing w:before="0" w:after="120" w:line="20" w:lineRule="atLeast"/>
        <w:rPr>
          <w:rFonts w:ascii="Open Sans Light" w:eastAsia="Aptos" w:hAnsi="Open Sans Light" w:cs="Open Sans Light"/>
          <w:kern w:val="2"/>
          <w:sz w:val="22"/>
          <w:szCs w:val="22"/>
          <w:lang w:val="en-US"/>
          <w14:ligatures w14:val="standardContextual"/>
        </w:rPr>
      </w:pPr>
      <w:r w:rsidRPr="00996EA4">
        <w:rPr>
          <w:rFonts w:ascii="Open Sans Light" w:eastAsia="Aptos" w:hAnsi="Open Sans Light" w:cs="Open Sans Light"/>
          <w:kern w:val="2"/>
          <w:sz w:val="22"/>
          <w:szCs w:val="22"/>
          <w:lang w:val="en-US"/>
          <w14:ligatures w14:val="standardContextual"/>
        </w:rPr>
        <w:t>There is a significant gap in respite care, essential for sustaining carer wellbeing</w:t>
      </w:r>
      <w:r w:rsidR="0076034C">
        <w:rPr>
          <w:rFonts w:ascii="Open Sans Light" w:eastAsia="Aptos" w:hAnsi="Open Sans Light" w:cs="Open Sans Light"/>
          <w:kern w:val="2"/>
          <w:sz w:val="22"/>
          <w:szCs w:val="22"/>
          <w:lang w:val="en-US"/>
          <w14:ligatures w14:val="standardContextual"/>
        </w:rPr>
        <w:t>.</w:t>
      </w:r>
    </w:p>
    <w:p w14:paraId="08DE46B8" w14:textId="7437389D" w:rsidR="009C1ACC" w:rsidRPr="00996EA4" w:rsidRDefault="009C1ACC" w:rsidP="00D65079">
      <w:pPr>
        <w:numPr>
          <w:ilvl w:val="0"/>
          <w:numId w:val="4"/>
        </w:numPr>
        <w:spacing w:before="0" w:after="120" w:line="259" w:lineRule="auto"/>
        <w:rPr>
          <w:rFonts w:ascii="Open Sans Light" w:eastAsia="Aptos" w:hAnsi="Open Sans Light" w:cs="Open Sans Light"/>
          <w:kern w:val="2"/>
          <w:sz w:val="22"/>
          <w:szCs w:val="22"/>
          <w:lang w:val="en-US"/>
          <w14:ligatures w14:val="standardContextual"/>
        </w:rPr>
      </w:pPr>
      <w:r w:rsidRPr="00996EA4">
        <w:rPr>
          <w:rFonts w:ascii="Open Sans Light" w:eastAsia="Aptos" w:hAnsi="Open Sans Light" w:cs="Open Sans Light"/>
          <w:kern w:val="2"/>
          <w:sz w:val="22"/>
          <w:szCs w:val="22"/>
          <w:lang w:val="en-US"/>
          <w14:ligatures w14:val="standardContextual"/>
        </w:rPr>
        <w:t xml:space="preserve">Providing one additional unit of service for carers with unmet needs in each category would cost an estimated $380 million. </w:t>
      </w:r>
    </w:p>
    <w:p w14:paraId="048425DA" w14:textId="07DDAE6E" w:rsidR="009C1ACC" w:rsidRDefault="009C1ACC" w:rsidP="00D65079">
      <w:pPr>
        <w:numPr>
          <w:ilvl w:val="0"/>
          <w:numId w:val="4"/>
        </w:numPr>
        <w:spacing w:before="0" w:after="120" w:line="259" w:lineRule="auto"/>
        <w:rPr>
          <w:rFonts w:ascii="Open Sans Light" w:eastAsia="Aptos" w:hAnsi="Open Sans Light" w:cs="Open Sans Light"/>
          <w:kern w:val="2"/>
          <w:sz w:val="22"/>
          <w:szCs w:val="22"/>
          <w:lang w:val="en-US"/>
          <w14:ligatures w14:val="standardContextual"/>
        </w:rPr>
      </w:pPr>
      <w:r w:rsidRPr="00996EA4">
        <w:rPr>
          <w:rFonts w:ascii="Open Sans Light" w:eastAsia="Aptos" w:hAnsi="Open Sans Light" w:cs="Open Sans Light"/>
          <w:kern w:val="2"/>
          <w:sz w:val="22"/>
          <w:szCs w:val="22"/>
          <w:lang w:val="en-US"/>
          <w14:ligatures w14:val="standardContextual"/>
        </w:rPr>
        <w:t>This equates to just 1.8% of the total economic value informal carers provide to the</w:t>
      </w:r>
      <w:r w:rsidRPr="009C1ACC">
        <w:rPr>
          <w:rFonts w:ascii="Open Sans Light" w:eastAsia="Aptos" w:hAnsi="Open Sans Light" w:cs="Open Sans Light"/>
          <w:kern w:val="2"/>
          <w:sz w:val="22"/>
          <w:szCs w:val="22"/>
          <w:lang w:val="en-US"/>
          <w14:ligatures w14:val="standardContextual"/>
        </w:rPr>
        <w:t xml:space="preserve"> Queensland economy</w:t>
      </w:r>
      <w:r w:rsidR="00E805E2">
        <w:rPr>
          <w:rFonts w:ascii="Open Sans Light" w:eastAsia="Aptos" w:hAnsi="Open Sans Light" w:cs="Open Sans Light"/>
          <w:kern w:val="2"/>
          <w:sz w:val="22"/>
          <w:szCs w:val="22"/>
          <w:lang w:val="en-US"/>
          <w14:ligatures w14:val="standardContextual"/>
        </w:rPr>
        <w:t xml:space="preserve"> each year</w:t>
      </w:r>
      <w:r w:rsidRPr="009C1ACC">
        <w:rPr>
          <w:rFonts w:ascii="Open Sans Light" w:eastAsia="Aptos" w:hAnsi="Open Sans Light" w:cs="Open Sans Light"/>
          <w:kern w:val="2"/>
          <w:sz w:val="22"/>
          <w:szCs w:val="22"/>
          <w:lang w:val="en-US"/>
          <w14:ligatures w14:val="standardContextual"/>
        </w:rPr>
        <w:t xml:space="preserve">. </w:t>
      </w:r>
    </w:p>
    <w:p w14:paraId="1B62BC85" w14:textId="77777777" w:rsidR="009C1ACC" w:rsidRPr="00276026" w:rsidRDefault="009C1ACC" w:rsidP="00D65079">
      <w:pPr>
        <w:spacing w:before="240" w:after="120" w:line="20" w:lineRule="atLeast"/>
        <w:rPr>
          <w:rFonts w:ascii="Open Sans Light" w:hAnsi="Open Sans Light" w:cs="Open Sans Light"/>
          <w:b/>
          <w:bCs/>
          <w:sz w:val="24"/>
          <w:szCs w:val="24"/>
          <w:u w:color="86BC25" w:themeColor="accent1"/>
          <w:vertAlign w:val="superscript"/>
          <w:lang w:val="en-AU"/>
        </w:rPr>
      </w:pPr>
      <w:r w:rsidRPr="00276026">
        <w:rPr>
          <w:rFonts w:ascii="Open Sans Light" w:hAnsi="Open Sans Light" w:cs="Open Sans Light"/>
          <w:b/>
          <w:bCs/>
          <w:sz w:val="24"/>
          <w:szCs w:val="24"/>
          <w:u w:color="86BC25" w:themeColor="accent1"/>
          <w:lang w:val="en-AU"/>
        </w:rPr>
        <w:t>An additional 70,000 primary carers required in Queensland by 2035.</w:t>
      </w:r>
      <w:r w:rsidRPr="00276026">
        <w:rPr>
          <w:rFonts w:ascii="Open Sans Light" w:hAnsi="Open Sans Light" w:cs="Open Sans Light"/>
          <w:b/>
          <w:bCs/>
          <w:sz w:val="24"/>
          <w:szCs w:val="24"/>
          <w:u w:color="86BC25" w:themeColor="accent1"/>
          <w:vertAlign w:val="superscript"/>
          <w:lang w:val="en-AU"/>
        </w:rPr>
        <w:t>5</w:t>
      </w:r>
    </w:p>
    <w:p w14:paraId="101EC371" w14:textId="67D017B1" w:rsidR="00312FBB" w:rsidRPr="00996EA4" w:rsidRDefault="00312FBB" w:rsidP="00D65079">
      <w:pPr>
        <w:numPr>
          <w:ilvl w:val="0"/>
          <w:numId w:val="5"/>
        </w:numPr>
        <w:spacing w:before="0" w:after="120" w:line="20" w:lineRule="atLeast"/>
        <w:ind w:left="714" w:hanging="357"/>
        <w:rPr>
          <w:rFonts w:ascii="Open Sans Light" w:eastAsia="Aptos" w:hAnsi="Open Sans Light" w:cs="Open Sans Light"/>
          <w:kern w:val="2"/>
          <w:sz w:val="22"/>
          <w:szCs w:val="22"/>
          <w:lang w:val="en-US"/>
          <w14:ligatures w14:val="standardContextual"/>
        </w:rPr>
      </w:pPr>
      <w:r w:rsidRPr="00996EA4">
        <w:rPr>
          <w:rFonts w:ascii="Open Sans Light" w:eastAsia="Aptos" w:hAnsi="Open Sans Light" w:cs="Open Sans Light"/>
          <w:kern w:val="2"/>
          <w:sz w:val="22"/>
          <w:szCs w:val="22"/>
          <w:lang w:val="en-US"/>
          <w14:ligatures w14:val="standardContextual"/>
        </w:rPr>
        <w:t>Based on expected population and demographic changes over time, the number of individuals requiring care in Queensland is projected to increase from 450,000 to 580,000 between 2022 and 2035.</w:t>
      </w:r>
    </w:p>
    <w:p w14:paraId="073C7EC7" w14:textId="19187354" w:rsidR="00312FBB" w:rsidRPr="00996EA4" w:rsidRDefault="00312FBB" w:rsidP="00D65079">
      <w:pPr>
        <w:numPr>
          <w:ilvl w:val="0"/>
          <w:numId w:val="5"/>
        </w:numPr>
        <w:spacing w:before="0" w:after="120" w:line="259" w:lineRule="auto"/>
        <w:ind w:left="714" w:hanging="357"/>
        <w:rPr>
          <w:rFonts w:ascii="Open Sans Light" w:eastAsia="Aptos" w:hAnsi="Open Sans Light" w:cs="Open Sans Light"/>
          <w:kern w:val="2"/>
          <w:sz w:val="22"/>
          <w:szCs w:val="22"/>
          <w:lang w:val="en-US"/>
          <w14:ligatures w14:val="standardContextual"/>
        </w:rPr>
      </w:pPr>
      <w:r w:rsidRPr="00996EA4">
        <w:rPr>
          <w:rFonts w:ascii="Open Sans Light" w:eastAsia="Aptos" w:hAnsi="Open Sans Light" w:cs="Open Sans Light"/>
          <w:kern w:val="2"/>
          <w:sz w:val="22"/>
          <w:szCs w:val="22"/>
          <w:lang w:val="en-US"/>
          <w14:ligatures w14:val="standardContextual"/>
        </w:rPr>
        <w:t>This could increase the share of the population required to provide the same level and nature of care per person from 4.3% to 4.7% (70,000</w:t>
      </w:r>
      <w:r w:rsidR="00E138D8">
        <w:rPr>
          <w:rFonts w:ascii="Open Sans Light" w:eastAsia="Aptos" w:hAnsi="Open Sans Light" w:cs="Open Sans Light"/>
          <w:kern w:val="2"/>
          <w:sz w:val="22"/>
          <w:szCs w:val="22"/>
          <w:lang w:val="en-US"/>
          <w14:ligatures w14:val="standardContextual"/>
        </w:rPr>
        <w:t xml:space="preserve"> additional pe</w:t>
      </w:r>
      <w:r w:rsidR="00F975FF">
        <w:rPr>
          <w:rFonts w:ascii="Open Sans Light" w:eastAsia="Aptos" w:hAnsi="Open Sans Light" w:cs="Open Sans Light"/>
          <w:kern w:val="2"/>
          <w:sz w:val="22"/>
          <w:szCs w:val="22"/>
          <w:lang w:val="en-US"/>
          <w14:ligatures w14:val="standardContextual"/>
        </w:rPr>
        <w:t>ople</w:t>
      </w:r>
      <w:r w:rsidRPr="00996EA4">
        <w:rPr>
          <w:rFonts w:ascii="Open Sans Light" w:eastAsia="Aptos" w:hAnsi="Open Sans Light" w:cs="Open Sans Light"/>
          <w:kern w:val="2"/>
          <w:sz w:val="22"/>
          <w:szCs w:val="22"/>
          <w:lang w:val="en-US"/>
          <w14:ligatures w14:val="standardContextual"/>
        </w:rPr>
        <w:t>).</w:t>
      </w:r>
    </w:p>
    <w:p w14:paraId="66EFFD4A" w14:textId="74A97F07" w:rsidR="009C1ACC" w:rsidRPr="00183464" w:rsidRDefault="00183464" w:rsidP="00183464">
      <w:pPr>
        <w:numPr>
          <w:ilvl w:val="0"/>
          <w:numId w:val="5"/>
        </w:numPr>
        <w:spacing w:before="0" w:after="80" w:line="259" w:lineRule="auto"/>
        <w:contextualSpacing/>
        <w:rPr>
          <w:rFonts w:ascii="Open Sans Light" w:eastAsia="Aptos" w:hAnsi="Open Sans Light" w:cs="Open Sans Light"/>
          <w:kern w:val="2"/>
          <w:sz w:val="22"/>
          <w:szCs w:val="22"/>
          <w:lang w:val="en-US"/>
          <w14:ligatures w14:val="standardContextual"/>
        </w:rPr>
      </w:pPr>
      <w:r w:rsidRPr="00312FBB">
        <w:rPr>
          <w:rFonts w:ascii="Open Sans Light" w:hAnsi="Open Sans Light" w:cs="Open Sans Light"/>
          <w:i/>
          <w:iCs/>
          <w:noProof/>
          <w:sz w:val="16"/>
          <w:szCs w:val="16"/>
          <w:lang w:val="en-AU"/>
        </w:rPr>
        <mc:AlternateContent>
          <mc:Choice Requires="wps">
            <w:drawing>
              <wp:anchor distT="45720" distB="45720" distL="114300" distR="114300" simplePos="0" relativeHeight="251658242" behindDoc="0" locked="0" layoutInCell="1" allowOverlap="1" wp14:anchorId="6072187B" wp14:editId="5E1CE342">
                <wp:simplePos x="0" y="0"/>
                <wp:positionH relativeFrom="margin">
                  <wp:posOffset>0</wp:posOffset>
                </wp:positionH>
                <wp:positionV relativeFrom="paragraph">
                  <wp:posOffset>577688</wp:posOffset>
                </wp:positionV>
                <wp:extent cx="5770179" cy="4253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179" cy="425303"/>
                        </a:xfrm>
                        <a:prstGeom prst="rect">
                          <a:avLst/>
                        </a:prstGeom>
                        <a:noFill/>
                        <a:ln w="9525">
                          <a:noFill/>
                          <a:miter lim="800000"/>
                          <a:headEnd/>
                          <a:tailEnd/>
                        </a:ln>
                      </wps:spPr>
                      <wps:txbx>
                        <w:txbxContent>
                          <w:p w14:paraId="2A031937" w14:textId="4D696C66" w:rsidR="00312FBB" w:rsidRPr="00312FBB" w:rsidRDefault="00312FBB" w:rsidP="00312FBB">
                            <w:pPr>
                              <w:spacing w:before="0" w:after="80" w:line="259" w:lineRule="auto"/>
                              <w:contextualSpacing/>
                              <w:rPr>
                                <w:rFonts w:ascii="Open Sans Light" w:eastAsia="Aptos" w:hAnsi="Open Sans Light" w:cs="Open Sans Light"/>
                                <w:kern w:val="2"/>
                                <w:sz w:val="22"/>
                                <w:szCs w:val="22"/>
                                <w:lang w:val="en-US"/>
                                <w14:ligatures w14:val="standardContextual"/>
                              </w:rPr>
                            </w:pPr>
                            <w:r w:rsidRPr="00312FBB">
                              <w:rPr>
                                <w:rFonts w:ascii="Open Sans Light" w:hAnsi="Open Sans Light" w:cs="Open Sans Light"/>
                                <w:i/>
                                <w:iCs/>
                                <w:sz w:val="16"/>
                                <w:szCs w:val="16"/>
                                <w:lang w:val="en-AU"/>
                              </w:rPr>
                              <w:t xml:space="preserve">Sources: (1) </w:t>
                            </w:r>
                            <w:r w:rsidRPr="00312FBB">
                              <w:rPr>
                                <w:rFonts w:ascii="Open Sans Light" w:hAnsi="Open Sans Light" w:cs="Open Sans Light"/>
                                <w:sz w:val="16"/>
                                <w:szCs w:val="16"/>
                                <w:lang w:val="en-AU"/>
                              </w:rPr>
                              <w:t>Australian Bureau of Statistics</w:t>
                            </w:r>
                            <w:r w:rsidRPr="00312FBB">
                              <w:rPr>
                                <w:rFonts w:ascii="Open Sans Light" w:hAnsi="Open Sans Light" w:cs="Open Sans Light"/>
                                <w:i/>
                                <w:iCs/>
                                <w:sz w:val="16"/>
                                <w:szCs w:val="16"/>
                                <w:lang w:val="en-AU"/>
                              </w:rPr>
                              <w:t xml:space="preserve">, Survey of Disability, Ageing and Care (2022); (2) </w:t>
                            </w:r>
                            <w:r w:rsidRPr="00312FBB">
                              <w:rPr>
                                <w:rFonts w:ascii="Open Sans Light" w:hAnsi="Open Sans Light" w:cs="Open Sans Light"/>
                                <w:sz w:val="16"/>
                                <w:szCs w:val="16"/>
                                <w:lang w:val="en-AU"/>
                              </w:rPr>
                              <w:t xml:space="preserve">Deloitte Access Economics, </w:t>
                            </w:r>
                            <w:r w:rsidRPr="00312FBB">
                              <w:rPr>
                                <w:rFonts w:ascii="Open Sans Light" w:hAnsi="Open Sans Light" w:cs="Open Sans Light"/>
                                <w:i/>
                                <w:iCs/>
                                <w:sz w:val="16"/>
                                <w:szCs w:val="16"/>
                                <w:lang w:val="en-AU"/>
                              </w:rPr>
                              <w:t xml:space="preserve">Queensland Carers: Social Return and Investment </w:t>
                            </w:r>
                            <w:r w:rsidRPr="00312FBB">
                              <w:rPr>
                                <w:rFonts w:ascii="Open Sans Light" w:hAnsi="Open Sans Light" w:cs="Open Sans Light"/>
                                <w:sz w:val="16"/>
                                <w:szCs w:val="16"/>
                                <w:lang w:val="en-AU"/>
                              </w:rPr>
                              <w:t>(2025); (3) Ibid. (2022); (4) Ibid. (2025); (5) Ibid. (2025).</w:t>
                            </w:r>
                          </w:p>
                          <w:p w14:paraId="629E8F87" w14:textId="2ACB1ECD" w:rsidR="00312FBB" w:rsidRPr="00312FBB" w:rsidRDefault="00312FBB">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2187B" id="_x0000_t202" coordsize="21600,21600" o:spt="202" path="m,l,21600r21600,l21600,xe">
                <v:stroke joinstyle="miter"/>
                <v:path gradientshapeok="t" o:connecttype="rect"/>
              </v:shapetype>
              <v:shape id="Text Box 2" o:spid="_x0000_s1026" type="#_x0000_t202" style="position:absolute;left:0;text-align:left;margin-left:0;margin-top:45.5pt;width:454.35pt;height:3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Tc+QEAAM0DAAAOAAAAZHJzL2Uyb0RvYy54bWysU8tu2zAQvBfoPxC815Idu44Fy0GaNEWB&#10;9AGk/QCaoiyiJJdd0pbcr++SchyjvRXVgeBqydmd2eH6ZrCGHRQGDa7m00nJmXISGu12Nf/+7eHN&#10;NWchCtcIA07V/KgCv9m8frXufaVm0IFpFDICcaHqfc27GH1VFEF2yoowAa8cJVtAKyKFuCsaFD2h&#10;W1PMyvJt0QM2HkGqEOjv/Zjkm4zftkrGL20bVGSm5tRbzCvmdZvWYrMW1Q6F77Q8tSH+oQsrtKOi&#10;Z6h7EQXbo/4LymqJEKCNEwm2gLbVUmUOxGZa/sHmqRNeZS4kTvBnmcL/g5WfD0/+K7I4vIOBBphJ&#10;BP8I8kdgDu464XbqFhH6TomGCk+TZEXvQ3W6mqQOVUgg2/4TNDRksY+QgYYWbVKFeDJCpwEcz6Kr&#10;ITJJPxfLZTldrjiTlJvPFlflVS4hqufbHkP8oMCytKk50lAzujg8hpi6EdXzkVTMwYM2Jg/WONbX&#10;fLWYLfKFi4zVkXxntK35dZm+0QmJ5HvX5MtRaDPuqYBxJ9aJ6Eg5DtuBDib2W2iOxB9h9Be9B9p0&#10;gL8468lbNQ8/9wIVZ+ajIw1X0/k8mTEH88VyRgFeZraXGeEkQdU8cjZu72I28Mj1lrRudZbhpZNT&#10;r+SZrM7J38mUl3E+9fIKN78BAAD//wMAUEsDBBQABgAIAAAAIQAjJYUl2wAAAAcBAAAPAAAAZHJz&#10;L2Rvd25yZXYueG1sTI/NTsMwEITvSLyDtUjc6LqIQpLGqRCIK4jyI/XmxtskIl5HsduEt2c5wWm0&#10;mtHMt+Vm9r060Ri7wAaWCw2KuA6u48bA+9vTVQYqJsvO9oHJwDdF2FTnZ6UtXJj4lU7b1Cgp4VhY&#10;A21KQ4EY65a8jYswEIt3CKO3Sc6xQTfaScp9j9da36K3HctCawd6aKn+2h69gY/nw+7zRr80j341&#10;TGHWyD5HYy4v5vs1qERz+gvDL76gQyVM+3BkF1VvQB5JBvKlqLi5zu5A7SW2yjRgVeJ//uoHAAD/&#10;/wMAUEsBAi0AFAAGAAgAAAAhALaDOJL+AAAA4QEAABMAAAAAAAAAAAAAAAAAAAAAAFtDb250ZW50&#10;X1R5cGVzXS54bWxQSwECLQAUAAYACAAAACEAOP0h/9YAAACUAQAACwAAAAAAAAAAAAAAAAAvAQAA&#10;X3JlbHMvLnJlbHNQSwECLQAUAAYACAAAACEAb4Rk3PkBAADNAwAADgAAAAAAAAAAAAAAAAAuAgAA&#10;ZHJzL2Uyb0RvYy54bWxQSwECLQAUAAYACAAAACEAIyWFJdsAAAAHAQAADwAAAAAAAAAAAAAAAABT&#10;BAAAZHJzL2Rvd25yZXYueG1sUEsFBgAAAAAEAAQA8wAAAFsFAAAAAA==&#10;" filled="f" stroked="f">
                <v:textbox>
                  <w:txbxContent>
                    <w:p w14:paraId="2A031937" w14:textId="4D696C66" w:rsidR="00312FBB" w:rsidRPr="00312FBB" w:rsidRDefault="00312FBB" w:rsidP="00312FBB">
                      <w:pPr>
                        <w:spacing w:before="0" w:after="80" w:line="259" w:lineRule="auto"/>
                        <w:contextualSpacing/>
                        <w:rPr>
                          <w:rFonts w:ascii="Open Sans Light" w:eastAsia="Aptos" w:hAnsi="Open Sans Light" w:cs="Open Sans Light"/>
                          <w:kern w:val="2"/>
                          <w:sz w:val="22"/>
                          <w:szCs w:val="22"/>
                          <w:lang w:val="en-US"/>
                          <w14:ligatures w14:val="standardContextual"/>
                        </w:rPr>
                      </w:pPr>
                      <w:r w:rsidRPr="00312FBB">
                        <w:rPr>
                          <w:rFonts w:ascii="Open Sans Light" w:hAnsi="Open Sans Light" w:cs="Open Sans Light"/>
                          <w:i/>
                          <w:iCs/>
                          <w:sz w:val="16"/>
                          <w:szCs w:val="16"/>
                          <w:lang w:val="en-AU"/>
                        </w:rPr>
                        <w:t xml:space="preserve">Sources: (1) </w:t>
                      </w:r>
                      <w:r w:rsidRPr="00312FBB">
                        <w:rPr>
                          <w:rFonts w:ascii="Open Sans Light" w:hAnsi="Open Sans Light" w:cs="Open Sans Light"/>
                          <w:sz w:val="16"/>
                          <w:szCs w:val="16"/>
                          <w:lang w:val="en-AU"/>
                        </w:rPr>
                        <w:t>Australian Bureau of Statistics</w:t>
                      </w:r>
                      <w:r w:rsidRPr="00312FBB">
                        <w:rPr>
                          <w:rFonts w:ascii="Open Sans Light" w:hAnsi="Open Sans Light" w:cs="Open Sans Light"/>
                          <w:i/>
                          <w:iCs/>
                          <w:sz w:val="16"/>
                          <w:szCs w:val="16"/>
                          <w:lang w:val="en-AU"/>
                        </w:rPr>
                        <w:t xml:space="preserve">, Survey of Disability, Ageing and Care (2022); (2) </w:t>
                      </w:r>
                      <w:r w:rsidRPr="00312FBB">
                        <w:rPr>
                          <w:rFonts w:ascii="Open Sans Light" w:hAnsi="Open Sans Light" w:cs="Open Sans Light"/>
                          <w:sz w:val="16"/>
                          <w:szCs w:val="16"/>
                          <w:lang w:val="en-AU"/>
                        </w:rPr>
                        <w:t xml:space="preserve">Deloitte Access Economics, </w:t>
                      </w:r>
                      <w:r w:rsidRPr="00312FBB">
                        <w:rPr>
                          <w:rFonts w:ascii="Open Sans Light" w:hAnsi="Open Sans Light" w:cs="Open Sans Light"/>
                          <w:i/>
                          <w:iCs/>
                          <w:sz w:val="16"/>
                          <w:szCs w:val="16"/>
                          <w:lang w:val="en-AU"/>
                        </w:rPr>
                        <w:t xml:space="preserve">Queensland Carers: Social Return and Investment </w:t>
                      </w:r>
                      <w:r w:rsidRPr="00312FBB">
                        <w:rPr>
                          <w:rFonts w:ascii="Open Sans Light" w:hAnsi="Open Sans Light" w:cs="Open Sans Light"/>
                          <w:sz w:val="16"/>
                          <w:szCs w:val="16"/>
                          <w:lang w:val="en-AU"/>
                        </w:rPr>
                        <w:t>(2025); (3) Ibid. (2022); (4) Ibid. (2025); (5) Ibid. (2025).</w:t>
                      </w:r>
                    </w:p>
                    <w:p w14:paraId="629E8F87" w14:textId="2ACB1ECD" w:rsidR="00312FBB" w:rsidRPr="00312FBB" w:rsidRDefault="00312FBB">
                      <w:pPr>
                        <w:rPr>
                          <w:lang w:val="en-AU"/>
                        </w:rPr>
                      </w:pPr>
                    </w:p>
                  </w:txbxContent>
                </v:textbox>
                <w10:wrap anchorx="margin"/>
              </v:shape>
            </w:pict>
          </mc:Fallback>
        </mc:AlternateContent>
      </w:r>
      <w:r w:rsidR="00312FBB" w:rsidRPr="00996EA4">
        <w:rPr>
          <w:rFonts w:ascii="Open Sans Light" w:eastAsia="Aptos" w:hAnsi="Open Sans Light" w:cs="Open Sans Light"/>
          <w:kern w:val="2"/>
          <w:sz w:val="22"/>
          <w:szCs w:val="22"/>
          <w:lang w:val="en-US"/>
          <w14:ligatures w14:val="standardContextual"/>
        </w:rPr>
        <w:t>A range of factors may impact these projections, such as socio-economic trends or the direction of government policy towards carers and care recipients.</w:t>
      </w:r>
    </w:p>
    <w:sectPr w:rsidR="009C1ACC" w:rsidRPr="00183464" w:rsidSect="001B3130">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C9FD3" w14:textId="77777777" w:rsidR="00FD11E7" w:rsidRDefault="00FD11E7" w:rsidP="001B3130">
      <w:pPr>
        <w:spacing w:before="0" w:after="0" w:line="240" w:lineRule="auto"/>
      </w:pPr>
      <w:r>
        <w:separator/>
      </w:r>
    </w:p>
  </w:endnote>
  <w:endnote w:type="continuationSeparator" w:id="0">
    <w:p w14:paraId="2E189BB9" w14:textId="77777777" w:rsidR="00FD11E7" w:rsidRDefault="00FD11E7" w:rsidP="001B3130">
      <w:pPr>
        <w:spacing w:before="0" w:after="0" w:line="240" w:lineRule="auto"/>
      </w:pPr>
      <w:r>
        <w:continuationSeparator/>
      </w:r>
    </w:p>
  </w:endnote>
  <w:endnote w:type="continuationNotice" w:id="1">
    <w:p w14:paraId="7BF4DF58" w14:textId="77777777" w:rsidR="00FD11E7" w:rsidRDefault="00FD11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2510" w14:textId="7799F91E" w:rsidR="00312671" w:rsidRDefault="0031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550EA" w14:textId="77777777" w:rsidR="00FD11E7" w:rsidRDefault="00FD11E7" w:rsidP="001B3130">
      <w:pPr>
        <w:spacing w:before="0" w:after="0" w:line="240" w:lineRule="auto"/>
      </w:pPr>
      <w:r>
        <w:separator/>
      </w:r>
    </w:p>
  </w:footnote>
  <w:footnote w:type="continuationSeparator" w:id="0">
    <w:p w14:paraId="546AB035" w14:textId="77777777" w:rsidR="00FD11E7" w:rsidRDefault="00FD11E7" w:rsidP="001B3130">
      <w:pPr>
        <w:spacing w:before="0" w:after="0" w:line="240" w:lineRule="auto"/>
      </w:pPr>
      <w:r>
        <w:continuationSeparator/>
      </w:r>
    </w:p>
  </w:footnote>
  <w:footnote w:type="continuationNotice" w:id="1">
    <w:p w14:paraId="63465B75" w14:textId="77777777" w:rsidR="00FD11E7" w:rsidRDefault="00FD11E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62D27"/>
    <w:multiLevelType w:val="hybridMultilevel"/>
    <w:tmpl w:val="B54EF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3610D3"/>
    <w:multiLevelType w:val="hybridMultilevel"/>
    <w:tmpl w:val="56C08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AC3E4F"/>
    <w:multiLevelType w:val="hybridMultilevel"/>
    <w:tmpl w:val="35045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8211A4"/>
    <w:multiLevelType w:val="hybridMultilevel"/>
    <w:tmpl w:val="DB585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E861FF"/>
    <w:multiLevelType w:val="hybridMultilevel"/>
    <w:tmpl w:val="64DC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8340F9"/>
    <w:multiLevelType w:val="hybridMultilevel"/>
    <w:tmpl w:val="BB205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423379">
    <w:abstractNumId w:val="2"/>
  </w:num>
  <w:num w:numId="2" w16cid:durableId="973604789">
    <w:abstractNumId w:val="5"/>
  </w:num>
  <w:num w:numId="3" w16cid:durableId="2052731722">
    <w:abstractNumId w:val="4"/>
  </w:num>
  <w:num w:numId="4" w16cid:durableId="447896379">
    <w:abstractNumId w:val="1"/>
  </w:num>
  <w:num w:numId="5" w16cid:durableId="1305938062">
    <w:abstractNumId w:val="3"/>
  </w:num>
  <w:num w:numId="6" w16cid:durableId="3381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CC"/>
    <w:rsid w:val="000830D7"/>
    <w:rsid w:val="00115385"/>
    <w:rsid w:val="00126DBD"/>
    <w:rsid w:val="00183464"/>
    <w:rsid w:val="00197D48"/>
    <w:rsid w:val="001B3130"/>
    <w:rsid w:val="002368BA"/>
    <w:rsid w:val="00276026"/>
    <w:rsid w:val="002F5222"/>
    <w:rsid w:val="00312671"/>
    <w:rsid w:val="00312D96"/>
    <w:rsid w:val="00312FBB"/>
    <w:rsid w:val="00335740"/>
    <w:rsid w:val="00372CE0"/>
    <w:rsid w:val="00413895"/>
    <w:rsid w:val="00441394"/>
    <w:rsid w:val="00452126"/>
    <w:rsid w:val="00462203"/>
    <w:rsid w:val="004A002D"/>
    <w:rsid w:val="004C46B1"/>
    <w:rsid w:val="004D6510"/>
    <w:rsid w:val="004F7D14"/>
    <w:rsid w:val="00535778"/>
    <w:rsid w:val="00564DA9"/>
    <w:rsid w:val="005A4D49"/>
    <w:rsid w:val="005D71E4"/>
    <w:rsid w:val="005F04AE"/>
    <w:rsid w:val="005F480F"/>
    <w:rsid w:val="006275E2"/>
    <w:rsid w:val="006D21B1"/>
    <w:rsid w:val="0076034C"/>
    <w:rsid w:val="00781A00"/>
    <w:rsid w:val="007908EC"/>
    <w:rsid w:val="00800339"/>
    <w:rsid w:val="008050C2"/>
    <w:rsid w:val="0084533E"/>
    <w:rsid w:val="00855930"/>
    <w:rsid w:val="00890C4D"/>
    <w:rsid w:val="008922FD"/>
    <w:rsid w:val="008F6206"/>
    <w:rsid w:val="009779F1"/>
    <w:rsid w:val="00986437"/>
    <w:rsid w:val="00996EA4"/>
    <w:rsid w:val="009C1ACC"/>
    <w:rsid w:val="009F0A4B"/>
    <w:rsid w:val="00A4135E"/>
    <w:rsid w:val="00AD22B4"/>
    <w:rsid w:val="00B12261"/>
    <w:rsid w:val="00B25CA1"/>
    <w:rsid w:val="00BD7CDA"/>
    <w:rsid w:val="00C03946"/>
    <w:rsid w:val="00C16185"/>
    <w:rsid w:val="00C32667"/>
    <w:rsid w:val="00C65E93"/>
    <w:rsid w:val="00C81835"/>
    <w:rsid w:val="00CA093C"/>
    <w:rsid w:val="00CB3572"/>
    <w:rsid w:val="00D34553"/>
    <w:rsid w:val="00D36776"/>
    <w:rsid w:val="00D46D76"/>
    <w:rsid w:val="00D65079"/>
    <w:rsid w:val="00D80EE3"/>
    <w:rsid w:val="00D92409"/>
    <w:rsid w:val="00D934A3"/>
    <w:rsid w:val="00E138D8"/>
    <w:rsid w:val="00E1400E"/>
    <w:rsid w:val="00E17FCB"/>
    <w:rsid w:val="00E710D6"/>
    <w:rsid w:val="00E805E2"/>
    <w:rsid w:val="00EB71D1"/>
    <w:rsid w:val="00EC5E92"/>
    <w:rsid w:val="00F10967"/>
    <w:rsid w:val="00F24C31"/>
    <w:rsid w:val="00F975FF"/>
    <w:rsid w:val="00FC3BD7"/>
    <w:rsid w:val="00FC4965"/>
    <w:rsid w:val="00FD11E7"/>
    <w:rsid w:val="00FE7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16E2"/>
  <w15:chartTrackingRefBased/>
  <w15:docId w15:val="{88472F78-EF48-4C86-B663-A6096254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65"/>
  </w:style>
  <w:style w:type="paragraph" w:styleId="Heading1">
    <w:name w:val="heading 1"/>
    <w:basedOn w:val="Normal"/>
    <w:next w:val="Normal"/>
    <w:link w:val="Heading1Char"/>
    <w:uiPriority w:val="9"/>
    <w:qFormat/>
    <w:rsid w:val="0084533E"/>
    <w:pPr>
      <w:spacing w:before="0" w:after="0" w:line="240" w:lineRule="auto"/>
      <w:outlineLvl w:val="0"/>
    </w:pPr>
    <w:rPr>
      <w:rFonts w:ascii="Open Sans SemiBold" w:hAnsi="Open Sans SemiBold" w:cs="Open Sans SemiBold"/>
      <w:noProof/>
      <w:sz w:val="56"/>
      <w:szCs w:val="56"/>
      <w:lang w:eastAsia="en-AU"/>
    </w:rPr>
  </w:style>
  <w:style w:type="paragraph" w:styleId="Heading2">
    <w:name w:val="heading 2"/>
    <w:basedOn w:val="Normal"/>
    <w:next w:val="Normal"/>
    <w:link w:val="Heading2Char"/>
    <w:uiPriority w:val="9"/>
    <w:unhideWhenUsed/>
    <w:qFormat/>
    <w:rsid w:val="0084533E"/>
    <w:pPr>
      <w:spacing w:before="0" w:after="0" w:line="240" w:lineRule="auto"/>
      <w:outlineLvl w:val="1"/>
    </w:pPr>
    <w:rPr>
      <w:rFonts w:ascii="Open Sans Light" w:eastAsia="Verdana" w:hAnsi="Open Sans Light" w:cs="Open Sans Light"/>
      <w:b/>
      <w:bCs/>
      <w:color w:val="000000"/>
      <w:sz w:val="24"/>
      <w:szCs w:val="24"/>
      <w:lang w:val="en-GB"/>
    </w:rPr>
  </w:style>
  <w:style w:type="paragraph" w:styleId="Heading3">
    <w:name w:val="heading 3"/>
    <w:basedOn w:val="Normal"/>
    <w:next w:val="Normal"/>
    <w:link w:val="Heading3Char"/>
    <w:uiPriority w:val="9"/>
    <w:semiHidden/>
    <w:unhideWhenUsed/>
    <w:qFormat/>
    <w:rsid w:val="00FC4965"/>
    <w:pPr>
      <w:pBdr>
        <w:top w:val="single" w:sz="6" w:space="2" w:color="86BC25" w:themeColor="accent1"/>
      </w:pBdr>
      <w:spacing w:before="300" w:after="0"/>
      <w:outlineLvl w:val="2"/>
    </w:pPr>
    <w:rPr>
      <w:caps/>
      <w:color w:val="425D12" w:themeColor="accent1" w:themeShade="7F"/>
      <w:spacing w:val="15"/>
    </w:rPr>
  </w:style>
  <w:style w:type="paragraph" w:styleId="Heading4">
    <w:name w:val="heading 4"/>
    <w:basedOn w:val="Normal"/>
    <w:next w:val="Normal"/>
    <w:link w:val="Heading4Char"/>
    <w:uiPriority w:val="9"/>
    <w:semiHidden/>
    <w:unhideWhenUsed/>
    <w:qFormat/>
    <w:rsid w:val="00FC4965"/>
    <w:pPr>
      <w:pBdr>
        <w:top w:val="dotted" w:sz="6" w:space="2" w:color="86BC25" w:themeColor="accent1"/>
      </w:pBdr>
      <w:spacing w:before="200" w:after="0"/>
      <w:outlineLvl w:val="3"/>
    </w:pPr>
    <w:rPr>
      <w:caps/>
      <w:color w:val="638C1B" w:themeColor="accent1" w:themeShade="BF"/>
      <w:spacing w:val="10"/>
    </w:rPr>
  </w:style>
  <w:style w:type="paragraph" w:styleId="Heading5">
    <w:name w:val="heading 5"/>
    <w:basedOn w:val="Normal"/>
    <w:next w:val="Normal"/>
    <w:link w:val="Heading5Char"/>
    <w:uiPriority w:val="9"/>
    <w:semiHidden/>
    <w:unhideWhenUsed/>
    <w:qFormat/>
    <w:rsid w:val="00FC4965"/>
    <w:pPr>
      <w:pBdr>
        <w:bottom w:val="single" w:sz="6" w:space="1" w:color="86BC25" w:themeColor="accent1"/>
      </w:pBdr>
      <w:spacing w:before="200" w:after="0"/>
      <w:outlineLvl w:val="4"/>
    </w:pPr>
    <w:rPr>
      <w:caps/>
      <w:color w:val="638C1B" w:themeColor="accent1" w:themeShade="BF"/>
      <w:spacing w:val="10"/>
    </w:rPr>
  </w:style>
  <w:style w:type="paragraph" w:styleId="Heading6">
    <w:name w:val="heading 6"/>
    <w:basedOn w:val="Normal"/>
    <w:next w:val="Normal"/>
    <w:link w:val="Heading6Char"/>
    <w:uiPriority w:val="9"/>
    <w:semiHidden/>
    <w:unhideWhenUsed/>
    <w:qFormat/>
    <w:rsid w:val="00FC4965"/>
    <w:pPr>
      <w:pBdr>
        <w:bottom w:val="dotted" w:sz="6" w:space="1" w:color="86BC25" w:themeColor="accent1"/>
      </w:pBdr>
      <w:spacing w:before="200" w:after="0"/>
      <w:outlineLvl w:val="5"/>
    </w:pPr>
    <w:rPr>
      <w:caps/>
      <w:color w:val="638C1B" w:themeColor="accent1" w:themeShade="BF"/>
      <w:spacing w:val="10"/>
    </w:rPr>
  </w:style>
  <w:style w:type="paragraph" w:styleId="Heading7">
    <w:name w:val="heading 7"/>
    <w:basedOn w:val="Normal"/>
    <w:next w:val="Normal"/>
    <w:link w:val="Heading7Char"/>
    <w:uiPriority w:val="9"/>
    <w:semiHidden/>
    <w:unhideWhenUsed/>
    <w:qFormat/>
    <w:rsid w:val="00FC4965"/>
    <w:pPr>
      <w:spacing w:before="200" w:after="0"/>
      <w:outlineLvl w:val="6"/>
    </w:pPr>
    <w:rPr>
      <w:caps/>
      <w:color w:val="638C1B" w:themeColor="accent1" w:themeShade="BF"/>
      <w:spacing w:val="10"/>
    </w:rPr>
  </w:style>
  <w:style w:type="paragraph" w:styleId="Heading8">
    <w:name w:val="heading 8"/>
    <w:basedOn w:val="Normal"/>
    <w:next w:val="Normal"/>
    <w:link w:val="Heading8Char"/>
    <w:uiPriority w:val="9"/>
    <w:semiHidden/>
    <w:unhideWhenUsed/>
    <w:qFormat/>
    <w:rsid w:val="00FC49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C49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33E"/>
    <w:rPr>
      <w:rFonts w:ascii="Open Sans SemiBold" w:hAnsi="Open Sans SemiBold" w:cs="Open Sans SemiBold"/>
      <w:noProof/>
      <w:sz w:val="56"/>
      <w:szCs w:val="56"/>
      <w:lang w:eastAsia="en-AU"/>
    </w:rPr>
  </w:style>
  <w:style w:type="character" w:customStyle="1" w:styleId="Heading2Char">
    <w:name w:val="Heading 2 Char"/>
    <w:basedOn w:val="DefaultParagraphFont"/>
    <w:link w:val="Heading2"/>
    <w:uiPriority w:val="9"/>
    <w:rsid w:val="0084533E"/>
    <w:rPr>
      <w:rFonts w:ascii="Open Sans Light" w:eastAsia="Verdana" w:hAnsi="Open Sans Light" w:cs="Open Sans Light"/>
      <w:b/>
      <w:bCs/>
      <w:color w:val="000000"/>
      <w:sz w:val="24"/>
      <w:szCs w:val="24"/>
      <w:lang w:val="en-GB"/>
    </w:rPr>
  </w:style>
  <w:style w:type="character" w:customStyle="1" w:styleId="Heading3Char">
    <w:name w:val="Heading 3 Char"/>
    <w:basedOn w:val="DefaultParagraphFont"/>
    <w:link w:val="Heading3"/>
    <w:uiPriority w:val="9"/>
    <w:semiHidden/>
    <w:rsid w:val="00FC4965"/>
    <w:rPr>
      <w:caps/>
      <w:color w:val="425D12" w:themeColor="accent1" w:themeShade="7F"/>
      <w:spacing w:val="15"/>
    </w:rPr>
  </w:style>
  <w:style w:type="character" w:customStyle="1" w:styleId="Heading4Char">
    <w:name w:val="Heading 4 Char"/>
    <w:basedOn w:val="DefaultParagraphFont"/>
    <w:link w:val="Heading4"/>
    <w:uiPriority w:val="9"/>
    <w:semiHidden/>
    <w:rsid w:val="00FC4965"/>
    <w:rPr>
      <w:caps/>
      <w:color w:val="638C1B" w:themeColor="accent1" w:themeShade="BF"/>
      <w:spacing w:val="10"/>
    </w:rPr>
  </w:style>
  <w:style w:type="character" w:customStyle="1" w:styleId="Heading5Char">
    <w:name w:val="Heading 5 Char"/>
    <w:basedOn w:val="DefaultParagraphFont"/>
    <w:link w:val="Heading5"/>
    <w:uiPriority w:val="9"/>
    <w:semiHidden/>
    <w:rsid w:val="00FC4965"/>
    <w:rPr>
      <w:caps/>
      <w:color w:val="638C1B" w:themeColor="accent1" w:themeShade="BF"/>
      <w:spacing w:val="10"/>
    </w:rPr>
  </w:style>
  <w:style w:type="character" w:customStyle="1" w:styleId="Heading6Char">
    <w:name w:val="Heading 6 Char"/>
    <w:basedOn w:val="DefaultParagraphFont"/>
    <w:link w:val="Heading6"/>
    <w:uiPriority w:val="9"/>
    <w:semiHidden/>
    <w:rsid w:val="00FC4965"/>
    <w:rPr>
      <w:caps/>
      <w:color w:val="638C1B" w:themeColor="accent1" w:themeShade="BF"/>
      <w:spacing w:val="10"/>
    </w:rPr>
  </w:style>
  <w:style w:type="character" w:customStyle="1" w:styleId="Heading7Char">
    <w:name w:val="Heading 7 Char"/>
    <w:basedOn w:val="DefaultParagraphFont"/>
    <w:link w:val="Heading7"/>
    <w:uiPriority w:val="9"/>
    <w:semiHidden/>
    <w:rsid w:val="00FC4965"/>
    <w:rPr>
      <w:caps/>
      <w:color w:val="638C1B" w:themeColor="accent1" w:themeShade="BF"/>
      <w:spacing w:val="10"/>
    </w:rPr>
  </w:style>
  <w:style w:type="character" w:customStyle="1" w:styleId="Heading8Char">
    <w:name w:val="Heading 8 Char"/>
    <w:basedOn w:val="DefaultParagraphFont"/>
    <w:link w:val="Heading8"/>
    <w:uiPriority w:val="9"/>
    <w:semiHidden/>
    <w:rsid w:val="00FC4965"/>
    <w:rPr>
      <w:caps/>
      <w:spacing w:val="10"/>
      <w:sz w:val="18"/>
      <w:szCs w:val="18"/>
    </w:rPr>
  </w:style>
  <w:style w:type="character" w:customStyle="1" w:styleId="Heading9Char">
    <w:name w:val="Heading 9 Char"/>
    <w:basedOn w:val="DefaultParagraphFont"/>
    <w:link w:val="Heading9"/>
    <w:uiPriority w:val="9"/>
    <w:semiHidden/>
    <w:rsid w:val="00FC4965"/>
    <w:rPr>
      <w:i/>
      <w:iCs/>
      <w:caps/>
      <w:spacing w:val="10"/>
      <w:sz w:val="18"/>
      <w:szCs w:val="18"/>
    </w:rPr>
  </w:style>
  <w:style w:type="paragraph" w:styleId="Caption">
    <w:name w:val="caption"/>
    <w:basedOn w:val="Normal"/>
    <w:next w:val="Normal"/>
    <w:uiPriority w:val="35"/>
    <w:semiHidden/>
    <w:unhideWhenUsed/>
    <w:qFormat/>
    <w:rsid w:val="00FC4965"/>
    <w:rPr>
      <w:b/>
      <w:bCs/>
      <w:color w:val="638C1B" w:themeColor="accent1" w:themeShade="BF"/>
      <w:sz w:val="16"/>
      <w:szCs w:val="16"/>
    </w:rPr>
  </w:style>
  <w:style w:type="paragraph" w:styleId="Title">
    <w:name w:val="Title"/>
    <w:basedOn w:val="Normal"/>
    <w:next w:val="Normal"/>
    <w:link w:val="TitleChar"/>
    <w:uiPriority w:val="10"/>
    <w:qFormat/>
    <w:rsid w:val="00FC4965"/>
    <w:pPr>
      <w:spacing w:before="0" w:after="0"/>
    </w:pPr>
    <w:rPr>
      <w:rFonts w:asciiTheme="majorHAnsi" w:eastAsiaTheme="majorEastAsia" w:hAnsiTheme="majorHAnsi" w:cstheme="majorBidi"/>
      <w:caps/>
      <w:color w:val="86BC25" w:themeColor="accent1"/>
      <w:spacing w:val="10"/>
      <w:sz w:val="52"/>
      <w:szCs w:val="52"/>
    </w:rPr>
  </w:style>
  <w:style w:type="character" w:customStyle="1" w:styleId="TitleChar">
    <w:name w:val="Title Char"/>
    <w:basedOn w:val="DefaultParagraphFont"/>
    <w:link w:val="Title"/>
    <w:uiPriority w:val="10"/>
    <w:rsid w:val="00FC4965"/>
    <w:rPr>
      <w:rFonts w:asciiTheme="majorHAnsi" w:eastAsiaTheme="majorEastAsia" w:hAnsiTheme="majorHAnsi" w:cstheme="majorBidi"/>
      <w:caps/>
      <w:color w:val="86BC25" w:themeColor="accent1"/>
      <w:spacing w:val="10"/>
      <w:sz w:val="52"/>
      <w:szCs w:val="52"/>
    </w:rPr>
  </w:style>
  <w:style w:type="paragraph" w:styleId="Subtitle">
    <w:name w:val="Subtitle"/>
    <w:basedOn w:val="Normal"/>
    <w:next w:val="Normal"/>
    <w:link w:val="SubtitleChar"/>
    <w:uiPriority w:val="11"/>
    <w:qFormat/>
    <w:rsid w:val="00FC49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C4965"/>
    <w:rPr>
      <w:caps/>
      <w:color w:val="595959" w:themeColor="text1" w:themeTint="A6"/>
      <w:spacing w:val="10"/>
      <w:sz w:val="21"/>
      <w:szCs w:val="21"/>
    </w:rPr>
  </w:style>
  <w:style w:type="character" w:styleId="Strong">
    <w:name w:val="Strong"/>
    <w:uiPriority w:val="22"/>
    <w:qFormat/>
    <w:rsid w:val="00FC4965"/>
    <w:rPr>
      <w:b/>
      <w:bCs/>
    </w:rPr>
  </w:style>
  <w:style w:type="character" w:styleId="Emphasis">
    <w:name w:val="Emphasis"/>
    <w:uiPriority w:val="20"/>
    <w:qFormat/>
    <w:rsid w:val="00FC4965"/>
    <w:rPr>
      <w:caps/>
      <w:color w:val="425D12" w:themeColor="accent1" w:themeShade="7F"/>
      <w:spacing w:val="5"/>
    </w:rPr>
  </w:style>
  <w:style w:type="paragraph" w:styleId="NoSpacing">
    <w:name w:val="No Spacing"/>
    <w:uiPriority w:val="1"/>
    <w:qFormat/>
    <w:rsid w:val="00FC4965"/>
    <w:pPr>
      <w:spacing w:after="0" w:line="240" w:lineRule="auto"/>
    </w:pPr>
  </w:style>
  <w:style w:type="paragraph" w:styleId="Quote">
    <w:name w:val="Quote"/>
    <w:basedOn w:val="Normal"/>
    <w:next w:val="Normal"/>
    <w:link w:val="QuoteChar"/>
    <w:uiPriority w:val="29"/>
    <w:qFormat/>
    <w:rsid w:val="00FC4965"/>
    <w:rPr>
      <w:i/>
      <w:iCs/>
      <w:sz w:val="24"/>
      <w:szCs w:val="24"/>
    </w:rPr>
  </w:style>
  <w:style w:type="character" w:customStyle="1" w:styleId="QuoteChar">
    <w:name w:val="Quote Char"/>
    <w:basedOn w:val="DefaultParagraphFont"/>
    <w:link w:val="Quote"/>
    <w:uiPriority w:val="29"/>
    <w:rsid w:val="00FC4965"/>
    <w:rPr>
      <w:i/>
      <w:iCs/>
      <w:sz w:val="24"/>
      <w:szCs w:val="24"/>
    </w:rPr>
  </w:style>
  <w:style w:type="paragraph" w:styleId="IntenseQuote">
    <w:name w:val="Intense Quote"/>
    <w:basedOn w:val="Normal"/>
    <w:next w:val="Normal"/>
    <w:link w:val="IntenseQuoteChar"/>
    <w:uiPriority w:val="30"/>
    <w:qFormat/>
    <w:rsid w:val="00FC4965"/>
    <w:pPr>
      <w:spacing w:before="240" w:after="240" w:line="240" w:lineRule="auto"/>
      <w:ind w:left="1080" w:right="1080"/>
      <w:jc w:val="center"/>
    </w:pPr>
    <w:rPr>
      <w:color w:val="86BC25" w:themeColor="accent1"/>
      <w:sz w:val="24"/>
      <w:szCs w:val="24"/>
    </w:rPr>
  </w:style>
  <w:style w:type="character" w:customStyle="1" w:styleId="IntenseQuoteChar">
    <w:name w:val="Intense Quote Char"/>
    <w:basedOn w:val="DefaultParagraphFont"/>
    <w:link w:val="IntenseQuote"/>
    <w:uiPriority w:val="30"/>
    <w:rsid w:val="00FC4965"/>
    <w:rPr>
      <w:color w:val="86BC25" w:themeColor="accent1"/>
      <w:sz w:val="24"/>
      <w:szCs w:val="24"/>
    </w:rPr>
  </w:style>
  <w:style w:type="character" w:styleId="SubtleEmphasis">
    <w:name w:val="Subtle Emphasis"/>
    <w:uiPriority w:val="19"/>
    <w:qFormat/>
    <w:rsid w:val="00FC4965"/>
    <w:rPr>
      <w:i/>
      <w:iCs/>
      <w:color w:val="425D12" w:themeColor="accent1" w:themeShade="7F"/>
    </w:rPr>
  </w:style>
  <w:style w:type="character" w:styleId="IntenseEmphasis">
    <w:name w:val="Intense Emphasis"/>
    <w:uiPriority w:val="21"/>
    <w:qFormat/>
    <w:rsid w:val="00FC4965"/>
    <w:rPr>
      <w:b/>
      <w:bCs/>
      <w:caps/>
      <w:color w:val="425D12" w:themeColor="accent1" w:themeShade="7F"/>
      <w:spacing w:val="10"/>
    </w:rPr>
  </w:style>
  <w:style w:type="character" w:styleId="SubtleReference">
    <w:name w:val="Subtle Reference"/>
    <w:uiPriority w:val="31"/>
    <w:qFormat/>
    <w:rsid w:val="00FC4965"/>
    <w:rPr>
      <w:b/>
      <w:bCs/>
      <w:color w:val="86BC25" w:themeColor="accent1"/>
    </w:rPr>
  </w:style>
  <w:style w:type="character" w:styleId="IntenseReference">
    <w:name w:val="Intense Reference"/>
    <w:uiPriority w:val="32"/>
    <w:qFormat/>
    <w:rsid w:val="00FC4965"/>
    <w:rPr>
      <w:b/>
      <w:bCs/>
      <w:i/>
      <w:iCs/>
      <w:caps/>
      <w:color w:val="86BC25" w:themeColor="accent1"/>
    </w:rPr>
  </w:style>
  <w:style w:type="character" w:styleId="BookTitle">
    <w:name w:val="Book Title"/>
    <w:uiPriority w:val="33"/>
    <w:qFormat/>
    <w:rsid w:val="00FC4965"/>
    <w:rPr>
      <w:b/>
      <w:bCs/>
      <w:i/>
      <w:iCs/>
      <w:spacing w:val="0"/>
    </w:rPr>
  </w:style>
  <w:style w:type="paragraph" w:styleId="TOCHeading">
    <w:name w:val="TOC Heading"/>
    <w:basedOn w:val="Heading1"/>
    <w:next w:val="Normal"/>
    <w:uiPriority w:val="39"/>
    <w:semiHidden/>
    <w:unhideWhenUsed/>
    <w:qFormat/>
    <w:rsid w:val="00FC4965"/>
    <w:pPr>
      <w:outlineLvl w:val="9"/>
    </w:pPr>
  </w:style>
  <w:style w:type="paragraph" w:styleId="ListParagraph">
    <w:name w:val="List Paragraph"/>
    <w:basedOn w:val="Normal"/>
    <w:uiPriority w:val="34"/>
    <w:qFormat/>
    <w:rsid w:val="009C1ACC"/>
    <w:pPr>
      <w:ind w:left="720"/>
      <w:contextualSpacing/>
    </w:pPr>
  </w:style>
  <w:style w:type="table" w:customStyle="1" w:styleId="Deloittetable">
    <w:name w:val="Deloitte table"/>
    <w:basedOn w:val="TableNormal"/>
    <w:uiPriority w:val="99"/>
    <w:rsid w:val="009C1ACC"/>
    <w:pPr>
      <w:spacing w:before="0" w:after="0" w:line="240" w:lineRule="atLeast"/>
      <w:ind w:left="57" w:right="57"/>
    </w:pPr>
    <w:rPr>
      <w:rFonts w:ascii="Open Sans Light" w:eastAsiaTheme="minorHAnsi" w:hAnsi="Open Sans Light" w:cs="Open Sans Light"/>
      <w:sz w:val="17"/>
      <w:szCs w:val="18"/>
      <w:lang w:val="en-GB"/>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62B5E5"/>
        </w:tcBorders>
      </w:tcPr>
    </w:tblStylePr>
  </w:style>
  <w:style w:type="paragraph" w:styleId="Header">
    <w:name w:val="header"/>
    <w:basedOn w:val="Normal"/>
    <w:link w:val="HeaderChar"/>
    <w:uiPriority w:val="99"/>
    <w:unhideWhenUsed/>
    <w:rsid w:val="001B313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B3130"/>
  </w:style>
  <w:style w:type="paragraph" w:styleId="Footer">
    <w:name w:val="footer"/>
    <w:basedOn w:val="Normal"/>
    <w:link w:val="FooterChar"/>
    <w:uiPriority w:val="99"/>
    <w:unhideWhenUsed/>
    <w:rsid w:val="001B313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B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elly\AppData\Local\Temp\Templafy\WordVsto\5b2naade.dotx"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7CF146C4-F33C-4674-9F60-3E413DE8D245}" vid="{1FA3A202-160F-48F1-9CAA-9049691AC6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ransformationConfigurations":[],"templateName":"Deloitte Theme Word Template (1) (1) (3)","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e23ba2-4ccf-4709-a87c-650965113232">
      <Terms xmlns="http://schemas.microsoft.com/office/infopath/2007/PartnerControls"/>
    </lcf76f155ced4ddcb4097134ff3c332f>
    <TaxCatchAll xmlns="20f7760e-f173-4e04-844c-e14603ada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8D4A8FCB3A264468EB924105D10812F" ma:contentTypeVersion="11" ma:contentTypeDescription="Create a new document." ma:contentTypeScope="" ma:versionID="ab8b758b1e81be47938f023d10b7cd1b">
  <xsd:schema xmlns:xsd="http://www.w3.org/2001/XMLSchema" xmlns:xs="http://www.w3.org/2001/XMLSchema" xmlns:p="http://schemas.microsoft.com/office/2006/metadata/properties" xmlns:ns2="5ee23ba2-4ccf-4709-a87c-650965113232" xmlns:ns3="20f7760e-f173-4e04-844c-e14603ada3ff" targetNamespace="http://schemas.microsoft.com/office/2006/metadata/properties" ma:root="true" ma:fieldsID="708a306556543e2d5a920ac1dd7adcd8" ns2:_="" ns3:_="">
    <xsd:import namespace="5ee23ba2-4ccf-4709-a87c-650965113232"/>
    <xsd:import namespace="20f7760e-f173-4e04-844c-e14603ada3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23ba2-4ccf-4709-a87c-650965113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7760e-f173-4e04-844c-e14603ada3f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a72abe9-be23-48eb-b147-8e8147843edd}" ma:internalName="TaxCatchAll" ma:showField="CatchAllData" ma:web="20f7760e-f173-4e04-844c-e14603ada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AE052-6150-49AE-A87F-592734DD29A7}">
  <ds:schemaRefs/>
</ds:datastoreItem>
</file>

<file path=customXml/itemProps2.xml><?xml version="1.0" encoding="utf-8"?>
<ds:datastoreItem xmlns:ds="http://schemas.openxmlformats.org/officeDocument/2006/customXml" ds:itemID="{05967414-3BD8-49FE-809D-781C692758D8}">
  <ds:schemaRefs/>
</ds:datastoreItem>
</file>

<file path=customXml/itemProps3.xml><?xml version="1.0" encoding="utf-8"?>
<ds:datastoreItem xmlns:ds="http://schemas.openxmlformats.org/officeDocument/2006/customXml" ds:itemID="{1138926C-A4B1-4D34-9B7E-5E93D1010A09}">
  <ds:schemaRefs>
    <ds:schemaRef ds:uri="http://purl.org/dc/dcmitype/"/>
    <ds:schemaRef ds:uri="http://purl.org/dc/terms/"/>
    <ds:schemaRef ds:uri="http://schemas.microsoft.com/office/infopath/2007/PartnerControls"/>
    <ds:schemaRef ds:uri="5ee23ba2-4ccf-4709-a87c-650965113232"/>
    <ds:schemaRef ds:uri="http://schemas.microsoft.com/office/2006/documentManagement/types"/>
    <ds:schemaRef ds:uri="http://purl.org/dc/elements/1.1/"/>
    <ds:schemaRef ds:uri="http://www.w3.org/XML/1998/namespace"/>
    <ds:schemaRef ds:uri="http://schemas.openxmlformats.org/package/2006/metadata/core-properties"/>
    <ds:schemaRef ds:uri="20f7760e-f173-4e04-844c-e14603ada3ff"/>
    <ds:schemaRef ds:uri="http://schemas.microsoft.com/office/2006/metadata/properties"/>
  </ds:schemaRefs>
</ds:datastoreItem>
</file>

<file path=customXml/itemProps4.xml><?xml version="1.0" encoding="utf-8"?>
<ds:datastoreItem xmlns:ds="http://schemas.openxmlformats.org/officeDocument/2006/customXml" ds:itemID="{86DC52D0-CFE2-4FBF-9E33-EDE5090885E6}">
  <ds:schemaRefs>
    <ds:schemaRef ds:uri="http://schemas.microsoft.com/sharepoint/v3/contenttype/forms"/>
  </ds:schemaRefs>
</ds:datastoreItem>
</file>

<file path=customXml/itemProps5.xml><?xml version="1.0" encoding="utf-8"?>
<ds:datastoreItem xmlns:ds="http://schemas.openxmlformats.org/officeDocument/2006/customXml" ds:itemID="{B493EB86-9A63-44DE-ACEC-307589517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23ba2-4ccf-4709-a87c-650965113232"/>
    <ds:schemaRef ds:uri="20f7760e-f173-4e04-844c-e14603ada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5b2naade.dotx</Template>
  <TotalTime>6</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Informal carers in Queensland - factsheet</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carers in Queensland - factsheet</dc:title>
  <dc:subject>Carers</dc:subject>
  <dc:creator>Queensland Government</dc:creator>
  <cp:keywords>informal; carers; queensland; qld</cp:keywords>
  <dc:description/>
  <cp:lastModifiedBy>Tanya z Campbell</cp:lastModifiedBy>
  <cp:revision>3</cp:revision>
  <dcterms:created xsi:type="dcterms:W3CDTF">2025-08-18T21:40:00Z</dcterms:created>
  <dcterms:modified xsi:type="dcterms:W3CDTF">2025-08-18T21:46:00Z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0x01010048D4A8FCB3A264468EB924105D10812F</vt:lpwstr>
  </property>
  <property fmtid="{D5CDD505-2E9C-101B-9397-08002B2CF9AE}" pid="3" name="MSIP_Label_ea60d57e-af5b-4752-ac57-3e4f28ca11dc_Enabled">
    <vt:lpwstr>true</vt:lpwstr>
  </property>
  <property fmtid="{D5CDD505-2E9C-101B-9397-08002B2CF9AE}" pid="4" name="MSIP_Label_ea60d57e-af5b-4752-ac57-3e4f28ca11dc_SetDate">
    <vt:lpwstr>2024-03-07T14:13:38Z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a20627d4-93af-4a3a-839f-d31e3ce8f81d</vt:lpwstr>
  </property>
  <property fmtid="{D5CDD505-2E9C-101B-9397-08002B2CF9AE}" pid="9" name="MSIP_Label_ea60d57e-af5b-4752-ac57-3e4f28ca11dc_ContentBits">
    <vt:lpwstr>0</vt:lpwstr>
  </property>
  <property fmtid="{D5CDD505-2E9C-101B-9397-08002B2CF9AE}" pid="10" name="MSIP_Label_459ef8e5-3aaa-41a0-b30c-a77b6f506147_Enabled">
    <vt:lpwstr>true</vt:lpwstr>
  </property>
  <property fmtid="{D5CDD505-2E9C-101B-9397-08002B2CF9AE}" pid="11" name="MSIP_Label_459ef8e5-3aaa-41a0-b30c-a77b6f506147_SetDate">
    <vt:lpwstr>2024-03-07T17:08:34Z</vt:lpwstr>
  </property>
  <property fmtid="{D5CDD505-2E9C-101B-9397-08002B2CF9AE}" pid="12" name="MSIP_Label_459ef8e5-3aaa-41a0-b30c-a77b6f506147_Method">
    <vt:lpwstr>Standard</vt:lpwstr>
  </property>
  <property fmtid="{D5CDD505-2E9C-101B-9397-08002B2CF9AE}" pid="13" name="MSIP_Label_459ef8e5-3aaa-41a0-b30c-a77b6f506147_Name">
    <vt:lpwstr>Internal</vt:lpwstr>
  </property>
  <property fmtid="{D5CDD505-2E9C-101B-9397-08002B2CF9AE}" pid="14" name="MSIP_Label_459ef8e5-3aaa-41a0-b30c-a77b6f506147_SiteId">
    <vt:lpwstr>9343c96b-27bb-4092-add6-977870612481</vt:lpwstr>
  </property>
  <property fmtid="{D5CDD505-2E9C-101B-9397-08002B2CF9AE}" pid="15" name="MSIP_Label_459ef8e5-3aaa-41a0-b30c-a77b6f506147_ActionId">
    <vt:lpwstr>87f86394-2f85-4fce-9ca5-f52dce092617</vt:lpwstr>
  </property>
  <property fmtid="{D5CDD505-2E9C-101B-9397-08002B2CF9AE}" pid="16" name="MSIP_Label_459ef8e5-3aaa-41a0-b30c-a77b6f506147_ContentBits">
    <vt:lpwstr>0</vt:lpwstr>
  </property>
  <property fmtid="{D5CDD505-2E9C-101B-9397-08002B2CF9AE}" pid="17" name="TemplafyTenantId">
    <vt:lpwstr>deloitteaus</vt:lpwstr>
  </property>
  <property fmtid="{D5CDD505-2E9C-101B-9397-08002B2CF9AE}" pid="18" name="TemplafyTemplateId">
    <vt:lpwstr>1023357047398989844</vt:lpwstr>
  </property>
  <property fmtid="{D5CDD505-2E9C-101B-9397-08002B2CF9AE}" pid="19" name="TemplafyUserProfileId">
    <vt:lpwstr>830899700303134727</vt:lpwstr>
  </property>
  <property fmtid="{D5CDD505-2E9C-101B-9397-08002B2CF9AE}" pid="20" name="TemplafyLanguageCode">
    <vt:lpwstr>en-AU</vt:lpwstr>
  </property>
  <property fmtid="{D5CDD505-2E9C-101B-9397-08002B2CF9AE}" pid="21" name="TemplafyFromBlank">
    <vt:bool>true</vt:bool>
  </property>
  <property fmtid="{D5CDD505-2E9C-101B-9397-08002B2CF9AE}" pid="22" name="MediaServiceImageTags">
    <vt:lpwstr/>
  </property>
</Properties>
</file>