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C35C46">
      <w:pPr>
        <w:pStyle w:val="Title"/>
        <w:tabs>
          <w:tab w:val="left" w:pos="1701"/>
        </w:tabs>
      </w:pPr>
    </w:p>
    <w:p w14:paraId="7A9D3249" w14:textId="77777777" w:rsidR="005C092E" w:rsidRDefault="005C092E" w:rsidP="005F0FB2">
      <w:pPr>
        <w:pStyle w:val="Title"/>
      </w:pPr>
    </w:p>
    <w:p w14:paraId="7B9F24FC" w14:textId="77777777" w:rsidR="005C092E" w:rsidRDefault="005C092E" w:rsidP="005F0FB2">
      <w:pPr>
        <w:pStyle w:val="Title"/>
      </w:pPr>
    </w:p>
    <w:p w14:paraId="71F9C5F3" w14:textId="65EB685F" w:rsidR="005F0FB2" w:rsidRPr="00432B11" w:rsidRDefault="00CB7679" w:rsidP="002B1ED4">
      <w:pPr>
        <w:spacing w:line="240" w:lineRule="auto"/>
        <w:rPr>
          <w:b/>
          <w:color w:val="FFFFFF" w:themeColor="background1"/>
          <w:sz w:val="72"/>
          <w:szCs w:val="72"/>
        </w:rPr>
      </w:pPr>
      <w:r>
        <w:rPr>
          <w:b/>
          <w:color w:val="FFFFFF" w:themeColor="background1"/>
          <w:sz w:val="72"/>
          <w:szCs w:val="72"/>
        </w:rPr>
        <w:t>Legislative Compliance Strategy</w:t>
      </w:r>
    </w:p>
    <w:p w14:paraId="162BE946" w14:textId="3DAC0F60" w:rsidR="005F0FB2" w:rsidRDefault="00CB7679" w:rsidP="005F0FB2">
      <w:pPr>
        <w:pStyle w:val="Subtitle"/>
      </w:pPr>
      <w:r>
        <w:rPr>
          <w:color w:val="FFFFFF" w:themeColor="background1"/>
        </w:rPr>
        <w:t>Disability Services</w:t>
      </w:r>
    </w:p>
    <w:p w14:paraId="09B5960E" w14:textId="77777777" w:rsidR="00F8211B" w:rsidRDefault="00F8211B">
      <w:pPr>
        <w:spacing w:after="0" w:line="240" w:lineRule="auto"/>
        <w:rPr>
          <w:rFonts w:eastAsiaTheme="majorEastAsia" w:cs="Times New Roman (Headings CS)"/>
          <w:b/>
          <w:bCs/>
          <w:color w:val="E0523E"/>
          <w:sz w:val="50"/>
          <w:szCs w:val="32"/>
        </w:rPr>
      </w:pPr>
      <w:r>
        <w:br w:type="page"/>
      </w:r>
    </w:p>
    <w:p w14:paraId="5557C1A2" w14:textId="441DFE18" w:rsidR="00F8211B" w:rsidRDefault="004166E9" w:rsidP="00F8211B">
      <w:pPr>
        <w:pStyle w:val="Heading1"/>
      </w:pPr>
      <w:r>
        <w:lastRenderedPageBreak/>
        <w:t>Introduction</w:t>
      </w:r>
    </w:p>
    <w:p w14:paraId="664593DC" w14:textId="23EAC731" w:rsidR="004166E9" w:rsidRPr="004166E9" w:rsidRDefault="004166E9" w:rsidP="00781183">
      <w:pPr>
        <w:spacing w:before="120" w:after="120" w:line="300" w:lineRule="atLeast"/>
        <w:jc w:val="both"/>
        <w:rPr>
          <w:szCs w:val="22"/>
        </w:rPr>
      </w:pPr>
      <w:r w:rsidRPr="004166E9">
        <w:rPr>
          <w:szCs w:val="22"/>
        </w:rPr>
        <w:t xml:space="preserve">The Department of </w:t>
      </w:r>
      <w:r>
        <w:rPr>
          <w:szCs w:val="22"/>
        </w:rPr>
        <w:t xml:space="preserve">Families, </w:t>
      </w:r>
      <w:r w:rsidRPr="004166E9">
        <w:rPr>
          <w:szCs w:val="22"/>
        </w:rPr>
        <w:t xml:space="preserve">Seniors, Disability Services and </w:t>
      </w:r>
      <w:r>
        <w:rPr>
          <w:szCs w:val="22"/>
        </w:rPr>
        <w:t xml:space="preserve">Child Safety </w:t>
      </w:r>
      <w:r w:rsidRPr="004166E9">
        <w:rPr>
          <w:szCs w:val="22"/>
        </w:rPr>
        <w:t xml:space="preserve">(the </w:t>
      </w:r>
      <w:r>
        <w:rPr>
          <w:szCs w:val="22"/>
        </w:rPr>
        <w:t>d</w:t>
      </w:r>
      <w:r w:rsidRPr="004166E9">
        <w:rPr>
          <w:szCs w:val="22"/>
        </w:rPr>
        <w:t>epartment) works together with people with disability</w:t>
      </w:r>
      <w:r>
        <w:rPr>
          <w:szCs w:val="22"/>
        </w:rPr>
        <w:t>, their families and carers s</w:t>
      </w:r>
      <w:r w:rsidRPr="004166E9">
        <w:rPr>
          <w:szCs w:val="22"/>
        </w:rPr>
        <w:t>o they can thrive culturally, socially and economically.</w:t>
      </w:r>
      <w:r w:rsidR="00C031AB">
        <w:rPr>
          <w:szCs w:val="22"/>
        </w:rPr>
        <w:t xml:space="preserve"> </w:t>
      </w:r>
      <w:r w:rsidRPr="004166E9">
        <w:rPr>
          <w:szCs w:val="22"/>
        </w:rPr>
        <w:t>Disability</w:t>
      </w:r>
      <w:r>
        <w:rPr>
          <w:szCs w:val="22"/>
        </w:rPr>
        <w:t xml:space="preserve"> Services</w:t>
      </w:r>
      <w:r w:rsidRPr="004166E9">
        <w:rPr>
          <w:szCs w:val="22"/>
        </w:rPr>
        <w:t xml:space="preserve"> strives to achieve high quality, safe and cost-efficient services </w:t>
      </w:r>
      <w:bookmarkStart w:id="0" w:name="_Hlk73352265"/>
      <w:r w:rsidRPr="004166E9">
        <w:rPr>
          <w:szCs w:val="22"/>
        </w:rPr>
        <w:t>for people with disability</w:t>
      </w:r>
      <w:r>
        <w:rPr>
          <w:szCs w:val="22"/>
        </w:rPr>
        <w:t xml:space="preserve">. </w:t>
      </w:r>
      <w:bookmarkEnd w:id="0"/>
      <w:r w:rsidRPr="004166E9">
        <w:rPr>
          <w:szCs w:val="22"/>
        </w:rPr>
        <w:t xml:space="preserve"> </w:t>
      </w:r>
    </w:p>
    <w:p w14:paraId="16464A4C" w14:textId="5DD53411" w:rsidR="004166E9" w:rsidRPr="004166E9" w:rsidRDefault="004166E9" w:rsidP="00781183">
      <w:pPr>
        <w:spacing w:before="120" w:after="120" w:line="300" w:lineRule="atLeast"/>
        <w:jc w:val="both"/>
        <w:rPr>
          <w:szCs w:val="22"/>
        </w:rPr>
      </w:pPr>
      <w:r>
        <w:rPr>
          <w:szCs w:val="22"/>
        </w:rPr>
        <w:t xml:space="preserve">Disability Services </w:t>
      </w:r>
      <w:r w:rsidRPr="004166E9">
        <w:rPr>
          <w:szCs w:val="22"/>
        </w:rPr>
        <w:t>administers the</w:t>
      </w:r>
      <w:r w:rsidRPr="004166E9">
        <w:rPr>
          <w:i/>
          <w:szCs w:val="22"/>
        </w:rPr>
        <w:t xml:space="preserve"> Disability Services Act 2006</w:t>
      </w:r>
      <w:r>
        <w:rPr>
          <w:i/>
          <w:szCs w:val="22"/>
        </w:rPr>
        <w:t xml:space="preserve">, </w:t>
      </w:r>
      <w:r w:rsidRPr="004166E9">
        <w:rPr>
          <w:szCs w:val="22"/>
        </w:rPr>
        <w:t xml:space="preserve">the </w:t>
      </w:r>
      <w:r w:rsidRPr="00C031AB">
        <w:rPr>
          <w:i/>
          <w:iCs/>
          <w:szCs w:val="22"/>
        </w:rPr>
        <w:t>Forensic Disability Act 2011</w:t>
      </w:r>
      <w:r>
        <w:rPr>
          <w:szCs w:val="22"/>
        </w:rPr>
        <w:t xml:space="preserve"> and the </w:t>
      </w:r>
      <w:r w:rsidRPr="004166E9">
        <w:rPr>
          <w:i/>
          <w:szCs w:val="22"/>
        </w:rPr>
        <w:t>Guide Hearing and Assistance Dogs Act 2009</w:t>
      </w:r>
      <w:r>
        <w:rPr>
          <w:szCs w:val="22"/>
        </w:rPr>
        <w:t>.</w:t>
      </w:r>
    </w:p>
    <w:p w14:paraId="219D0440" w14:textId="6C6E92D7" w:rsidR="004166E9" w:rsidRPr="004166E9" w:rsidRDefault="00C031AB" w:rsidP="00781183">
      <w:pPr>
        <w:spacing w:before="120" w:after="120" w:line="300" w:lineRule="atLeast"/>
        <w:jc w:val="both"/>
        <w:rPr>
          <w:szCs w:val="22"/>
        </w:rPr>
      </w:pPr>
      <w:r>
        <w:rPr>
          <w:szCs w:val="22"/>
        </w:rPr>
        <w:t xml:space="preserve">Disability Services </w:t>
      </w:r>
      <w:r w:rsidR="004166E9" w:rsidRPr="004166E9">
        <w:rPr>
          <w:szCs w:val="22"/>
        </w:rPr>
        <w:t xml:space="preserve">is also responsible for delivering outcomes through service agreements with providers across a range of </w:t>
      </w:r>
      <w:r>
        <w:rPr>
          <w:szCs w:val="22"/>
        </w:rPr>
        <w:t>d</w:t>
      </w:r>
      <w:r w:rsidR="004166E9" w:rsidRPr="004166E9">
        <w:rPr>
          <w:szCs w:val="22"/>
        </w:rPr>
        <w:t xml:space="preserve">isability programs and initiatives. It is able to rely on the provisions for the </w:t>
      </w:r>
      <w:r w:rsidR="004166E9" w:rsidRPr="004166E9">
        <w:rPr>
          <w:i/>
          <w:iCs/>
          <w:szCs w:val="22"/>
        </w:rPr>
        <w:t>Community Services Act 2007</w:t>
      </w:r>
      <w:r w:rsidR="004166E9" w:rsidRPr="004166E9">
        <w:rPr>
          <w:szCs w:val="22"/>
        </w:rPr>
        <w:t xml:space="preserve"> to ensure compliance by funded service providers. </w:t>
      </w:r>
    </w:p>
    <w:p w14:paraId="1FB8DF66" w14:textId="77777777" w:rsidR="004166E9" w:rsidRPr="004166E9" w:rsidRDefault="004166E9" w:rsidP="00781183">
      <w:pPr>
        <w:spacing w:before="120" w:after="120" w:line="300" w:lineRule="atLeast"/>
        <w:jc w:val="both"/>
        <w:rPr>
          <w:szCs w:val="22"/>
        </w:rPr>
      </w:pPr>
      <w:r w:rsidRPr="004166E9">
        <w:rPr>
          <w:szCs w:val="22"/>
        </w:rPr>
        <w:t>See Attachment A for an outline of the compliance provisions under each of these Acts.</w:t>
      </w:r>
    </w:p>
    <w:p w14:paraId="125EFEDC" w14:textId="77777777" w:rsidR="004166E9" w:rsidRPr="004166E9" w:rsidRDefault="004166E9" w:rsidP="00781183">
      <w:pPr>
        <w:spacing w:before="120" w:after="120" w:line="300" w:lineRule="atLeast"/>
        <w:jc w:val="both"/>
        <w:rPr>
          <w:szCs w:val="22"/>
        </w:rPr>
      </w:pPr>
      <w:r w:rsidRPr="004166E9">
        <w:rPr>
          <w:szCs w:val="22"/>
        </w:rPr>
        <w:t>The above legislation and the terms and conditions of the service agreements:</w:t>
      </w:r>
    </w:p>
    <w:p w14:paraId="6163F73E" w14:textId="7D94E67B" w:rsidR="004166E9" w:rsidRPr="004166E9" w:rsidRDefault="004166E9" w:rsidP="00781183">
      <w:pPr>
        <w:pStyle w:val="ListParagraph"/>
        <w:numPr>
          <w:ilvl w:val="0"/>
          <w:numId w:val="10"/>
        </w:numPr>
        <w:spacing w:before="120" w:after="120" w:line="300" w:lineRule="atLeast"/>
        <w:jc w:val="both"/>
        <w:rPr>
          <w:rFonts w:ascii="Arial" w:eastAsiaTheme="minorEastAsia" w:hAnsi="Arial" w:cs="Arial"/>
          <w:color w:val="000000" w:themeColor="text1"/>
        </w:rPr>
      </w:pPr>
      <w:r w:rsidRPr="004166E9">
        <w:rPr>
          <w:rFonts w:ascii="Arial" w:eastAsiaTheme="minorEastAsia" w:hAnsi="Arial" w:cs="Arial"/>
          <w:color w:val="000000" w:themeColor="text1"/>
        </w:rPr>
        <w:t xml:space="preserve">provide an enabling and regulatory framework for funding and delivering disability services in a way that meet expectations of quality and safety </w:t>
      </w:r>
    </w:p>
    <w:p w14:paraId="5310DDA3" w14:textId="6F53DAB7" w:rsidR="004166E9" w:rsidRPr="004166E9" w:rsidRDefault="004166E9" w:rsidP="00781183">
      <w:pPr>
        <w:pStyle w:val="ListParagraph"/>
        <w:numPr>
          <w:ilvl w:val="0"/>
          <w:numId w:val="10"/>
        </w:numPr>
        <w:spacing w:before="120" w:after="120" w:line="300" w:lineRule="atLeast"/>
        <w:jc w:val="both"/>
        <w:rPr>
          <w:rFonts w:ascii="Arial" w:eastAsiaTheme="minorEastAsia" w:hAnsi="Arial" w:cs="Arial"/>
          <w:color w:val="000000" w:themeColor="text1"/>
        </w:rPr>
      </w:pPr>
      <w:r w:rsidRPr="004166E9">
        <w:rPr>
          <w:rFonts w:ascii="Arial" w:eastAsiaTheme="minorEastAsia" w:hAnsi="Arial" w:cs="Arial"/>
          <w:color w:val="000000" w:themeColor="text1"/>
        </w:rPr>
        <w:t xml:space="preserve">promote and protect the rights and safety of </w:t>
      </w:r>
      <w:r w:rsidRPr="004166E9">
        <w:rPr>
          <w:rFonts w:ascii="Arial" w:hAnsi="Arial" w:cs="Arial"/>
        </w:rPr>
        <w:t>people with a disability, increasing their wellbeing and encouraging their participation in the community</w:t>
      </w:r>
    </w:p>
    <w:p w14:paraId="4913A76E" w14:textId="77777777" w:rsidR="004166E9" w:rsidRPr="004166E9" w:rsidRDefault="004166E9" w:rsidP="00781183">
      <w:pPr>
        <w:pStyle w:val="ListParagraph"/>
        <w:numPr>
          <w:ilvl w:val="0"/>
          <w:numId w:val="10"/>
        </w:numPr>
        <w:spacing w:before="120" w:after="120" w:line="300" w:lineRule="atLeast"/>
        <w:jc w:val="both"/>
        <w:rPr>
          <w:rFonts w:ascii="Arial" w:eastAsiaTheme="minorEastAsia" w:hAnsi="Arial" w:cs="Arial"/>
          <w:color w:val="000000" w:themeColor="text1"/>
        </w:rPr>
      </w:pPr>
      <w:r w:rsidRPr="004166E9">
        <w:rPr>
          <w:rFonts w:ascii="Arial" w:eastAsiaTheme="minorEastAsia" w:hAnsi="Arial" w:cs="Arial"/>
          <w:color w:val="000000" w:themeColor="text1"/>
        </w:rPr>
        <w:t>ensure people with a disability who rely on guide, hearing or assistance dogs have the same access rights as others to public places and public passenger vehicles and to ensure the quality and accountability of guide, hearing and assistance dog training services, and</w:t>
      </w:r>
    </w:p>
    <w:p w14:paraId="120B1269" w14:textId="6C2B5969" w:rsidR="004166E9" w:rsidRPr="004166E9" w:rsidRDefault="004166E9" w:rsidP="00781183">
      <w:pPr>
        <w:numPr>
          <w:ilvl w:val="0"/>
          <w:numId w:val="11"/>
        </w:numPr>
        <w:spacing w:before="120" w:after="120" w:line="300" w:lineRule="atLeast"/>
        <w:jc w:val="both"/>
        <w:rPr>
          <w:szCs w:val="22"/>
        </w:rPr>
      </w:pPr>
      <w:r w:rsidRPr="004166E9">
        <w:rPr>
          <w:szCs w:val="22"/>
        </w:rPr>
        <w:t>oversee control systems to ensure compliance by departmentally funded organi</w:t>
      </w:r>
      <w:r w:rsidR="00C031AB">
        <w:rPr>
          <w:szCs w:val="22"/>
        </w:rPr>
        <w:t>s</w:t>
      </w:r>
      <w:r w:rsidRPr="004166E9">
        <w:rPr>
          <w:szCs w:val="22"/>
        </w:rPr>
        <w:t xml:space="preserve">ations and sole traders relating to service agreements, in relation to funding and service quality. </w:t>
      </w:r>
    </w:p>
    <w:p w14:paraId="4DCE0BC1" w14:textId="23EA9E1E" w:rsidR="004166E9" w:rsidRPr="004166E9" w:rsidRDefault="00C031AB" w:rsidP="00781183">
      <w:pPr>
        <w:spacing w:before="120" w:after="120" w:line="300" w:lineRule="atLeast"/>
        <w:jc w:val="both"/>
        <w:rPr>
          <w:szCs w:val="22"/>
        </w:rPr>
      </w:pPr>
      <w:r>
        <w:rPr>
          <w:szCs w:val="22"/>
        </w:rPr>
        <w:t>Disability Services’</w:t>
      </w:r>
      <w:r w:rsidR="004166E9" w:rsidRPr="004166E9">
        <w:rPr>
          <w:szCs w:val="22"/>
        </w:rPr>
        <w:t xml:space="preserve"> compliance actions and interventions operate as both proactive checks on legislative compliance, and an escalation point for serious or protracted non-compliance with legislation, and service agreements. This work sits within and supports the </w:t>
      </w:r>
      <w:r w:rsidR="00781183">
        <w:rPr>
          <w:szCs w:val="22"/>
        </w:rPr>
        <w:t>d</w:t>
      </w:r>
      <w:r w:rsidR="004166E9" w:rsidRPr="004166E9">
        <w:rPr>
          <w:szCs w:val="22"/>
        </w:rPr>
        <w:t xml:space="preserve">epartment’s broader assurance and enterprise risk-management efforts. </w:t>
      </w:r>
    </w:p>
    <w:p w14:paraId="74A5BB22" w14:textId="56AC6870" w:rsidR="004166E9" w:rsidRPr="004166E9" w:rsidRDefault="004166E9" w:rsidP="00781183">
      <w:pPr>
        <w:spacing w:before="120" w:after="120" w:line="300" w:lineRule="atLeast"/>
        <w:jc w:val="both"/>
        <w:rPr>
          <w:szCs w:val="22"/>
        </w:rPr>
      </w:pPr>
      <w:r w:rsidRPr="004166E9">
        <w:rPr>
          <w:szCs w:val="22"/>
        </w:rPr>
        <w:t xml:space="preserve">This Strategy is best considered one part of a multi-layered safeguarding, assurance and risk management approach to the provision of seniors and disability services. It fulfils the second tier of monitoring and intervention in the below </w:t>
      </w:r>
      <w:r w:rsidR="00E509D9">
        <w:rPr>
          <w:szCs w:val="22"/>
        </w:rPr>
        <w:t>c</w:t>
      </w:r>
      <w:r w:rsidRPr="004166E9">
        <w:rPr>
          <w:szCs w:val="22"/>
        </w:rPr>
        <w:t>ompliance hierarchy.</w:t>
      </w:r>
    </w:p>
    <w:p w14:paraId="15090742" w14:textId="49EA4950" w:rsidR="004166E9" w:rsidRPr="00781183" w:rsidRDefault="004166E9" w:rsidP="00781183">
      <w:pPr>
        <w:pStyle w:val="ListParagraph"/>
        <w:numPr>
          <w:ilvl w:val="0"/>
          <w:numId w:val="12"/>
        </w:numPr>
        <w:spacing w:before="120" w:after="120" w:line="300" w:lineRule="atLeast"/>
        <w:jc w:val="both"/>
        <w:rPr>
          <w:rFonts w:ascii="Arial" w:hAnsi="Arial" w:cs="Arial"/>
        </w:rPr>
      </w:pPr>
      <w:r w:rsidRPr="00781183">
        <w:rPr>
          <w:rFonts w:ascii="Arial" w:hAnsi="Arial" w:cs="Arial"/>
          <w:b/>
        </w:rPr>
        <w:t>Tier 1</w:t>
      </w:r>
      <w:r w:rsidRPr="00781183">
        <w:rPr>
          <w:rFonts w:ascii="Arial" w:hAnsi="Arial" w:cs="Arial"/>
        </w:rPr>
        <w:t xml:space="preserve"> – governance, management and controls</w:t>
      </w:r>
      <w:r w:rsidRPr="00781183">
        <w:rPr>
          <w:rFonts w:ascii="Arial" w:hAnsi="Arial" w:cs="Arial"/>
          <w:bCs/>
        </w:rPr>
        <w:t xml:space="preserve"> internal</w:t>
      </w:r>
      <w:r w:rsidRPr="00781183">
        <w:rPr>
          <w:rFonts w:ascii="Arial" w:hAnsi="Arial" w:cs="Arial"/>
          <w:b/>
        </w:rPr>
        <w:t xml:space="preserve"> </w:t>
      </w:r>
      <w:r w:rsidRPr="00781183">
        <w:rPr>
          <w:rFonts w:ascii="Arial" w:hAnsi="Arial" w:cs="Arial"/>
        </w:rPr>
        <w:t xml:space="preserve">to organisations. This level of monitoring includes the role of </w:t>
      </w:r>
      <w:r w:rsidR="00781183" w:rsidRPr="00781183">
        <w:rPr>
          <w:rFonts w:ascii="Arial" w:hAnsi="Arial" w:cs="Arial"/>
        </w:rPr>
        <w:t>b</w:t>
      </w:r>
      <w:r w:rsidRPr="00781183">
        <w:rPr>
          <w:rFonts w:ascii="Arial" w:hAnsi="Arial" w:cs="Arial"/>
        </w:rPr>
        <w:t xml:space="preserve">oards, councils, internal controls, risk management and performance and annual reporting. </w:t>
      </w:r>
    </w:p>
    <w:p w14:paraId="166824DA" w14:textId="3603C6B0" w:rsidR="004166E9" w:rsidRPr="00781183" w:rsidRDefault="004166E9" w:rsidP="00781183">
      <w:pPr>
        <w:pStyle w:val="ListParagraph"/>
        <w:numPr>
          <w:ilvl w:val="0"/>
          <w:numId w:val="12"/>
        </w:numPr>
        <w:spacing w:before="120" w:after="120" w:line="300" w:lineRule="atLeast"/>
        <w:jc w:val="both"/>
        <w:rPr>
          <w:rFonts w:ascii="Arial" w:hAnsi="Arial" w:cs="Arial"/>
        </w:rPr>
      </w:pPr>
      <w:r w:rsidRPr="00781183">
        <w:rPr>
          <w:rFonts w:ascii="Arial" w:hAnsi="Arial" w:cs="Arial"/>
          <w:b/>
        </w:rPr>
        <w:t>Tier 2 -</w:t>
      </w:r>
      <w:r w:rsidRPr="00E509D9">
        <w:rPr>
          <w:rFonts w:ascii="Arial" w:hAnsi="Arial" w:cs="Arial"/>
          <w:bCs/>
        </w:rPr>
        <w:t xml:space="preserve"> external</w:t>
      </w:r>
      <w:r w:rsidRPr="00781183">
        <w:rPr>
          <w:rFonts w:ascii="Arial" w:hAnsi="Arial" w:cs="Arial"/>
          <w:b/>
        </w:rPr>
        <w:t xml:space="preserve"> </w:t>
      </w:r>
      <w:r w:rsidRPr="00781183">
        <w:rPr>
          <w:rFonts w:ascii="Arial" w:hAnsi="Arial" w:cs="Arial"/>
        </w:rPr>
        <w:t xml:space="preserve">monitoring by regulators and funding bodies. This includes monitoring and assessing financial and non-financial performance of service providers under contracts, receipt and investigation of complaints and actioning any non-compliance concerns. For NDIS services, Tier 2 responsibilities are undertaken by both </w:t>
      </w:r>
      <w:r w:rsidR="00781183" w:rsidRPr="00781183">
        <w:rPr>
          <w:rFonts w:ascii="Arial" w:hAnsi="Arial" w:cs="Arial"/>
        </w:rPr>
        <w:t xml:space="preserve">Disability Services </w:t>
      </w:r>
      <w:r w:rsidRPr="00781183">
        <w:rPr>
          <w:rFonts w:ascii="Arial" w:hAnsi="Arial" w:cs="Arial"/>
        </w:rPr>
        <w:t>and the NDIS Quality and Safeguards Commission. Collectively</w:t>
      </w:r>
      <w:r w:rsidR="00781183" w:rsidRPr="00781183">
        <w:rPr>
          <w:rFonts w:ascii="Arial" w:hAnsi="Arial" w:cs="Arial"/>
        </w:rPr>
        <w:t>,</w:t>
      </w:r>
      <w:r w:rsidRPr="00781183">
        <w:rPr>
          <w:rFonts w:ascii="Arial" w:hAnsi="Arial" w:cs="Arial"/>
        </w:rPr>
        <w:t xml:space="preserve"> the functions administered create a suite of comprehensive safeguards. This is achieved by the NDIS Quality and Safeguards Commission regulating providers. </w:t>
      </w:r>
    </w:p>
    <w:p w14:paraId="0376137D" w14:textId="637278A5" w:rsidR="004166E9" w:rsidRDefault="00781183" w:rsidP="00781183">
      <w:pPr>
        <w:pStyle w:val="ListParagraph"/>
        <w:numPr>
          <w:ilvl w:val="0"/>
          <w:numId w:val="12"/>
        </w:numPr>
        <w:spacing w:before="120" w:after="120" w:line="300" w:lineRule="atLeast"/>
        <w:jc w:val="both"/>
        <w:rPr>
          <w:rFonts w:ascii="Arial" w:hAnsi="Arial" w:cs="Arial"/>
        </w:rPr>
      </w:pPr>
      <w:r w:rsidRPr="00781183">
        <w:rPr>
          <w:rFonts w:ascii="Arial" w:hAnsi="Arial" w:cs="Arial"/>
          <w:b/>
          <w:bCs/>
        </w:rPr>
        <w:t>Tier 3</w:t>
      </w:r>
      <w:r w:rsidRPr="00781183">
        <w:rPr>
          <w:rFonts w:ascii="Arial" w:hAnsi="Arial" w:cs="Arial"/>
        </w:rPr>
        <w:t xml:space="preserve"> - independent, external monitoring and investigation by statutory and other agencies, including the Queensland Audit Office, Queensland Ombudsman, Crime and Corruption Commission and Queensland Police Service.</w:t>
      </w:r>
    </w:p>
    <w:p w14:paraId="60ECFE49" w14:textId="77777777" w:rsidR="00D90863" w:rsidRPr="00781183" w:rsidRDefault="00D90863" w:rsidP="00D90863">
      <w:pPr>
        <w:pStyle w:val="ListParagraph"/>
        <w:spacing w:before="120" w:after="120" w:line="300" w:lineRule="atLeast"/>
        <w:ind w:left="360"/>
        <w:jc w:val="both"/>
        <w:rPr>
          <w:rFonts w:ascii="Arial" w:hAnsi="Arial" w:cs="Arial"/>
        </w:rPr>
      </w:pPr>
    </w:p>
    <w:p w14:paraId="4BF65973" w14:textId="0DEB8649" w:rsidR="00F8211B" w:rsidRDefault="00F8211B" w:rsidP="00F8211B">
      <w:pPr>
        <w:pStyle w:val="BodyText"/>
      </w:pPr>
    </w:p>
    <w:p w14:paraId="4C54D142" w14:textId="42AACD5F" w:rsidR="00781183" w:rsidRDefault="00781183" w:rsidP="00F8211B">
      <w:pPr>
        <w:pStyle w:val="BodyText"/>
      </w:pPr>
      <w:r w:rsidRPr="00946E2B">
        <w:rPr>
          <w:noProof/>
        </w:rPr>
        <w:drawing>
          <wp:inline distT="0" distB="0" distL="0" distR="0" wp14:anchorId="04645CEB" wp14:editId="6590FD81">
            <wp:extent cx="6254750" cy="39052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F64B4E" w14:textId="157B95B3" w:rsidR="00D90863" w:rsidRDefault="00D90863" w:rsidP="00D90863">
      <w:pPr>
        <w:pStyle w:val="Heading2"/>
        <w:spacing w:after="120" w:line="300" w:lineRule="atLeast"/>
      </w:pPr>
      <w:r>
        <w:t>Disability Services Compliance Model</w:t>
      </w:r>
    </w:p>
    <w:p w14:paraId="36B3DF0E" w14:textId="368CC731" w:rsidR="00D90863" w:rsidRDefault="00D90863" w:rsidP="00D90863">
      <w:pPr>
        <w:pStyle w:val="BodyText"/>
        <w:spacing w:before="120" w:after="120" w:line="300" w:lineRule="atLeast"/>
        <w:jc w:val="both"/>
      </w:pPr>
      <w:r>
        <w:t xml:space="preserve">Disability Services has adopted a responsive model of compliance with a focus on education and engagement with stakeholders to promote compliance with the Acts and relevant service agreements, contracts and policies.  </w:t>
      </w:r>
    </w:p>
    <w:p w14:paraId="6922F1DB" w14:textId="2BF32041" w:rsidR="00D90863" w:rsidRDefault="00D90863" w:rsidP="00D90863">
      <w:pPr>
        <w:pStyle w:val="BodyText"/>
        <w:spacing w:before="120" w:after="120" w:line="300" w:lineRule="atLeast"/>
        <w:jc w:val="both"/>
      </w:pPr>
      <w:r>
        <w:t>The model is represented in figure 1 (Compliance pyramid) which shows how Disability Services takes a responsive and proportionate approach to compliance, applying the strongest actions to the most serious issues and breaches. It also demonstrates the ability to escalate actions if an initial response does not achieve the intended outcome.</w:t>
      </w:r>
    </w:p>
    <w:p w14:paraId="010F8968" w14:textId="0AFBC836" w:rsidR="00D90863" w:rsidRDefault="00D90863" w:rsidP="00D90863">
      <w:pPr>
        <w:pStyle w:val="BodyText"/>
        <w:spacing w:before="120" w:after="120" w:line="300" w:lineRule="atLeast"/>
        <w:jc w:val="center"/>
      </w:pPr>
      <w:r w:rsidRPr="00946E2B">
        <w:rPr>
          <w:noProof/>
        </w:rPr>
        <w:drawing>
          <wp:inline distT="0" distB="0" distL="0" distR="0" wp14:anchorId="783C7975" wp14:editId="0364DC32">
            <wp:extent cx="4946650" cy="3218613"/>
            <wp:effectExtent l="0" t="0" r="6350" b="1270"/>
            <wp:docPr id="81692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76690" name=""/>
                    <pic:cNvPicPr/>
                  </pic:nvPicPr>
                  <pic:blipFill>
                    <a:blip r:embed="rId13">
                      <a:extLst>
                        <a:ext uri="{28A0092B-C50C-407E-A947-70E740481C1C}">
                          <a14:useLocalDpi xmlns:a14="http://schemas.microsoft.com/office/drawing/2010/main" val="0"/>
                        </a:ext>
                      </a:extLst>
                    </a:blip>
                    <a:stretch>
                      <a:fillRect/>
                    </a:stretch>
                  </pic:blipFill>
                  <pic:spPr>
                    <a:xfrm>
                      <a:off x="0" y="0"/>
                      <a:ext cx="4955367" cy="3224285"/>
                    </a:xfrm>
                    <a:prstGeom prst="rect">
                      <a:avLst/>
                    </a:prstGeom>
                  </pic:spPr>
                </pic:pic>
              </a:graphicData>
            </a:graphic>
          </wp:inline>
        </w:drawing>
      </w:r>
    </w:p>
    <w:p w14:paraId="7379A166" w14:textId="7F504343" w:rsidR="00127C75" w:rsidRPr="00127C75" w:rsidRDefault="00127C75" w:rsidP="00127C75">
      <w:pPr>
        <w:pStyle w:val="BodyText"/>
        <w:spacing w:before="120" w:after="120" w:line="300" w:lineRule="atLeast"/>
        <w:jc w:val="both"/>
      </w:pPr>
      <w:r w:rsidRPr="00127C75">
        <w:lastRenderedPageBreak/>
        <w:t>When non-compliance is identified, the response is proportionate to risk and determined on a case-by-case basis and considers factors such as:</w:t>
      </w:r>
    </w:p>
    <w:p w14:paraId="1C31B04E" w14:textId="77777777" w:rsidR="00127C75" w:rsidRPr="00127C75" w:rsidRDefault="00127C75" w:rsidP="00127C75">
      <w:pPr>
        <w:pStyle w:val="BodyText"/>
        <w:numPr>
          <w:ilvl w:val="0"/>
          <w:numId w:val="13"/>
        </w:numPr>
        <w:spacing w:before="120" w:after="120" w:line="300" w:lineRule="atLeast"/>
        <w:jc w:val="both"/>
      </w:pPr>
      <w:bookmarkStart w:id="1" w:name="_Hlk73109162"/>
      <w:r w:rsidRPr="00127C75">
        <w:t xml:space="preserve">the impact of the non-compliance </w:t>
      </w:r>
      <w:bookmarkEnd w:id="1"/>
      <w:r w:rsidRPr="00127C75">
        <w:t xml:space="preserve">on people with disability </w:t>
      </w:r>
    </w:p>
    <w:p w14:paraId="36F47E79" w14:textId="77777777" w:rsidR="00127C75" w:rsidRPr="00127C75" w:rsidRDefault="00127C75" w:rsidP="00127C75">
      <w:pPr>
        <w:pStyle w:val="BodyText"/>
        <w:numPr>
          <w:ilvl w:val="0"/>
          <w:numId w:val="13"/>
        </w:numPr>
        <w:spacing w:before="120" w:after="120" w:line="300" w:lineRule="atLeast"/>
        <w:jc w:val="both"/>
      </w:pPr>
      <w:r w:rsidRPr="00127C75">
        <w:t>the willingness and/or ability of the service provider or individual to comply (taking into consideration their level of knowledge around compliance)</w:t>
      </w:r>
    </w:p>
    <w:p w14:paraId="5CA4B342" w14:textId="77777777" w:rsidR="00127C75" w:rsidRPr="00127C75" w:rsidRDefault="00127C75" w:rsidP="00127C75">
      <w:pPr>
        <w:pStyle w:val="BodyText"/>
        <w:numPr>
          <w:ilvl w:val="0"/>
          <w:numId w:val="13"/>
        </w:numPr>
        <w:spacing w:before="120" w:after="120" w:line="300" w:lineRule="atLeast"/>
        <w:jc w:val="both"/>
      </w:pPr>
      <w:r w:rsidRPr="00127C75">
        <w:t>the likelihood of further non-compliance</w:t>
      </w:r>
    </w:p>
    <w:p w14:paraId="357DD9DF" w14:textId="77777777" w:rsidR="00127C75" w:rsidRPr="00127C75" w:rsidRDefault="00127C75" w:rsidP="00127C75">
      <w:pPr>
        <w:pStyle w:val="BodyText"/>
        <w:numPr>
          <w:ilvl w:val="0"/>
          <w:numId w:val="13"/>
        </w:numPr>
        <w:spacing w:before="120" w:after="120" w:line="300" w:lineRule="atLeast"/>
        <w:jc w:val="both"/>
      </w:pPr>
      <w:r w:rsidRPr="00127C75">
        <w:t>compliance history, and</w:t>
      </w:r>
    </w:p>
    <w:p w14:paraId="381C1342" w14:textId="77777777" w:rsidR="00127C75" w:rsidRPr="00127C75" w:rsidRDefault="00127C75" w:rsidP="00127C75">
      <w:pPr>
        <w:pStyle w:val="BodyText"/>
        <w:numPr>
          <w:ilvl w:val="0"/>
          <w:numId w:val="13"/>
        </w:numPr>
        <w:spacing w:before="120" w:after="120" w:line="300" w:lineRule="atLeast"/>
        <w:jc w:val="both"/>
      </w:pPr>
      <w:r w:rsidRPr="00127C75">
        <w:t>the level of reputational risk.</w:t>
      </w:r>
    </w:p>
    <w:p w14:paraId="466C64A9" w14:textId="7CB0DC3B" w:rsidR="00127C75" w:rsidRPr="00127C75" w:rsidRDefault="00127C75" w:rsidP="00127C75">
      <w:pPr>
        <w:pStyle w:val="BodyText"/>
        <w:spacing w:before="120" w:after="120" w:line="300" w:lineRule="atLeast"/>
        <w:jc w:val="both"/>
      </w:pPr>
      <w:r w:rsidRPr="00127C75">
        <w:t>The compliance and enforcement actions available include</w:t>
      </w:r>
      <w:r w:rsidR="00E509D9">
        <w:t xml:space="preserve"> </w:t>
      </w:r>
      <w:r w:rsidRPr="00127C75">
        <w:rPr>
          <w:vertAlign w:val="superscript"/>
        </w:rPr>
        <w:footnoteReference w:id="1"/>
      </w:r>
      <w:r w:rsidRPr="00127C75">
        <w:t>:</w:t>
      </w:r>
    </w:p>
    <w:p w14:paraId="475E7B04" w14:textId="5A90B65C" w:rsidR="00127C75" w:rsidRPr="00127C75" w:rsidRDefault="00127C75" w:rsidP="00127C75">
      <w:pPr>
        <w:pStyle w:val="BodyText"/>
        <w:numPr>
          <w:ilvl w:val="0"/>
          <w:numId w:val="13"/>
        </w:numPr>
        <w:spacing w:before="120" w:after="120" w:line="300" w:lineRule="atLeast"/>
        <w:jc w:val="both"/>
      </w:pPr>
      <w:r w:rsidRPr="00127C75">
        <w:t>administrative - such as education, financial reviews</w:t>
      </w:r>
      <w:r w:rsidR="00E509D9">
        <w:t xml:space="preserve"> </w:t>
      </w:r>
      <w:r w:rsidRPr="00127C75">
        <w:rPr>
          <w:vertAlign w:val="superscript"/>
        </w:rPr>
        <w:footnoteReference w:id="2"/>
      </w:r>
      <w:r w:rsidRPr="00127C75">
        <w:t>, formal warning letters, compliance notices, suspension of or revoking funding, suspension or cancellation of approval of an approved trainer or training institution and show cause processes, and</w:t>
      </w:r>
    </w:p>
    <w:p w14:paraId="0EA21735" w14:textId="27FDCA75" w:rsidR="00127C75" w:rsidRPr="00127C75" w:rsidRDefault="00127C75" w:rsidP="00127C75">
      <w:pPr>
        <w:pStyle w:val="BodyText"/>
        <w:numPr>
          <w:ilvl w:val="0"/>
          <w:numId w:val="13"/>
        </w:numPr>
        <w:spacing w:before="120" w:after="120" w:line="300" w:lineRule="atLeast"/>
        <w:jc w:val="both"/>
      </w:pPr>
      <w:r w:rsidRPr="00127C75">
        <w:t>court-based - such as prosecution</w:t>
      </w:r>
      <w:r w:rsidR="00E509D9">
        <w:t xml:space="preserve"> </w:t>
      </w:r>
      <w:r w:rsidRPr="00127C75">
        <w:rPr>
          <w:vertAlign w:val="superscript"/>
        </w:rPr>
        <w:footnoteReference w:id="3"/>
      </w:r>
      <w:r w:rsidRPr="00127C75">
        <w:t>.</w:t>
      </w:r>
    </w:p>
    <w:p w14:paraId="7064D82F" w14:textId="710569A8" w:rsidR="00127C75" w:rsidRPr="00127C75" w:rsidRDefault="00127C75" w:rsidP="00127C75">
      <w:pPr>
        <w:pStyle w:val="BodyText"/>
        <w:spacing w:before="120" w:after="120" w:line="300" w:lineRule="atLeast"/>
        <w:jc w:val="both"/>
      </w:pPr>
      <w:r w:rsidRPr="00127C75">
        <w:t xml:space="preserve">If </w:t>
      </w:r>
      <w:r w:rsidR="002C7B4A">
        <w:t>Disability Services</w:t>
      </w:r>
      <w:r w:rsidRPr="00127C75">
        <w:t xml:space="preserve"> takes enforcement action, factors such as the nature and severity of the harm caused, the compliance history and cooperation of the entity or subject officer and the deterrence value of the enforcement measure are all considered.</w:t>
      </w:r>
      <w:r w:rsidR="002C7B4A">
        <w:t xml:space="preserve"> </w:t>
      </w:r>
      <w:r w:rsidRPr="00127C75">
        <w:t>When investigating potential compliance issues with a funded provider under a service agreement</w:t>
      </w:r>
      <w:r w:rsidR="00E509D9">
        <w:t xml:space="preserve"> or contract</w:t>
      </w:r>
      <w:r w:rsidRPr="00127C75">
        <w:t xml:space="preserve">, a cooperative approach should be considered, prior to invoking any powers under the </w:t>
      </w:r>
      <w:r w:rsidRPr="00127C75">
        <w:rPr>
          <w:i/>
          <w:iCs/>
        </w:rPr>
        <w:t>Community Services Act 2007</w:t>
      </w:r>
      <w:r w:rsidR="00E509D9">
        <w:rPr>
          <w:i/>
          <w:iCs/>
        </w:rPr>
        <w:t xml:space="preserve"> </w:t>
      </w:r>
      <w:r w:rsidRPr="00127C75">
        <w:rPr>
          <w:i/>
          <w:iCs/>
          <w:vertAlign w:val="superscript"/>
        </w:rPr>
        <w:footnoteReference w:id="4"/>
      </w:r>
      <w:r w:rsidRPr="00127C75">
        <w:rPr>
          <w:i/>
          <w:iCs/>
        </w:rPr>
        <w:t>.</w:t>
      </w:r>
    </w:p>
    <w:p w14:paraId="10FC7050" w14:textId="3177A64C" w:rsidR="00127C75" w:rsidRDefault="002C7B4A" w:rsidP="00127C75">
      <w:pPr>
        <w:pStyle w:val="BodyText"/>
        <w:spacing w:before="120" w:after="120" w:line="300" w:lineRule="atLeast"/>
        <w:jc w:val="both"/>
      </w:pPr>
      <w:r>
        <w:t xml:space="preserve">Disability Services </w:t>
      </w:r>
      <w:r w:rsidR="00127C75" w:rsidRPr="00127C75">
        <w:t>will seek to educate and inform where genuine attempts at compliance are being made and investigate allegations of serious non-compliance or systemic or repetitive breaches.</w:t>
      </w:r>
      <w:r>
        <w:t xml:space="preserve"> </w:t>
      </w:r>
      <w:r w:rsidR="00127C75" w:rsidRPr="00127C75">
        <w:t xml:space="preserve">Where the Acts prescribe offences and penalties and voluntary compliance activities are not available, </w:t>
      </w:r>
      <w:r>
        <w:t>Disability Services</w:t>
      </w:r>
      <w:r w:rsidR="00127C75" w:rsidRPr="00127C75">
        <w:t xml:space="preserve"> is responsible for commencing proceedings that can be applied and enforced by a Court.</w:t>
      </w:r>
    </w:p>
    <w:p w14:paraId="1331842D" w14:textId="7311772E" w:rsidR="002C7B4A" w:rsidRDefault="002C7B4A" w:rsidP="002C7B4A">
      <w:pPr>
        <w:pStyle w:val="Heading2"/>
        <w:spacing w:before="240" w:after="0"/>
      </w:pPr>
      <w:r>
        <w:t>The Compliance Approach</w:t>
      </w:r>
    </w:p>
    <w:p w14:paraId="6B6BAA68" w14:textId="299130AC" w:rsidR="002C7B4A" w:rsidRPr="00127C75" w:rsidRDefault="0006766E" w:rsidP="00127C75">
      <w:pPr>
        <w:pStyle w:val="BodyText"/>
        <w:spacing w:before="120" w:after="120" w:line="300" w:lineRule="atLeast"/>
        <w:jc w:val="both"/>
      </w:pPr>
      <w:r w:rsidRPr="00946E2B">
        <w:rPr>
          <w:noProof/>
        </w:rPr>
        <mc:AlternateContent>
          <mc:Choice Requires="wps">
            <w:drawing>
              <wp:anchor distT="0" distB="0" distL="114300" distR="114300" simplePos="0" relativeHeight="251664384" behindDoc="0" locked="0" layoutInCell="1" allowOverlap="1" wp14:anchorId="67FE10BF" wp14:editId="501B2B64">
                <wp:simplePos x="0" y="0"/>
                <wp:positionH relativeFrom="column">
                  <wp:posOffset>4145915</wp:posOffset>
                </wp:positionH>
                <wp:positionV relativeFrom="paragraph">
                  <wp:posOffset>1570355</wp:posOffset>
                </wp:positionV>
                <wp:extent cx="642620" cy="539750"/>
                <wp:effectExtent l="57150" t="38100" r="81280" b="88900"/>
                <wp:wrapNone/>
                <wp:docPr id="7" name="Left-Up Arrow 7"/>
                <wp:cNvGraphicFramePr/>
                <a:graphic xmlns:a="http://schemas.openxmlformats.org/drawingml/2006/main">
                  <a:graphicData uri="http://schemas.microsoft.com/office/word/2010/wordprocessingShape">
                    <wps:wsp>
                      <wps:cNvSpPr/>
                      <wps:spPr>
                        <a:xfrm>
                          <a:off x="0" y="0"/>
                          <a:ext cx="642620" cy="539750"/>
                        </a:xfrm>
                        <a:prstGeom prst="leftUpArrow">
                          <a:avLst>
                            <a:gd name="adj1" fmla="val 50000"/>
                            <a:gd name="adj2" fmla="val 25000"/>
                            <a:gd name="adj3" fmla="val 2500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A839" id="Left-Up Arrow 7" o:spid="_x0000_s1026" style="position:absolute;margin-left:326.45pt;margin-top:123.65pt;width:50.6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2620,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" path="m,404813l134938,269875r,l372745,269875r,-134937l372745,134938,507683,,642620,134938r,l642620,539750r-507682,l134938,539750,,404813xe" fillcolor="#4f81bd [3204]" strokecolor="#4579b8 [3044]">
                <v:fill color2="#a7bfde [1620]" rotate="t" angle="180" focus="100%" type="gradient">
                  <o:fill v:ext="view" type="gradientUnscaled"/>
                </v:fill>
                <v:shadow on="t" color="black" opacity="22937f" origin=",.5" offset="0,.63889mm"/>
                <v:path arrowok="t" o:connecttype="custom" o:connectlocs="0,404813;134938,269875;134938,269875;372745,269875;372745,134938;372745,134938;507683,0;642620,134938;642620,134938;642620,539750;134938,539750;134938,539750;0,404813" o:connectangles="0,0,0,0,0,0,0,0,0,0,0,0,0"/>
              </v:shape>
            </w:pict>
          </mc:Fallback>
        </mc:AlternateContent>
      </w:r>
      <w:r w:rsidR="002C7B4A" w:rsidRPr="00946E2B">
        <w:rPr>
          <w:noProof/>
        </w:rPr>
        <mc:AlternateContent>
          <mc:Choice Requires="wps">
            <w:drawing>
              <wp:anchor distT="0" distB="0" distL="114300" distR="114300" simplePos="0" relativeHeight="251663360" behindDoc="0" locked="0" layoutInCell="1" allowOverlap="1" wp14:anchorId="49081D9B" wp14:editId="420504EF">
                <wp:simplePos x="0" y="0"/>
                <wp:positionH relativeFrom="margin">
                  <wp:posOffset>4907280</wp:posOffset>
                </wp:positionH>
                <wp:positionV relativeFrom="paragraph">
                  <wp:posOffset>1804035</wp:posOffset>
                </wp:positionV>
                <wp:extent cx="847725" cy="266700"/>
                <wp:effectExtent l="57150" t="38100" r="85725" b="95250"/>
                <wp:wrapNone/>
                <wp:docPr id="5" name="Text Box 5"/>
                <wp:cNvGraphicFramePr/>
                <a:graphic xmlns:a="http://schemas.openxmlformats.org/drawingml/2006/main">
                  <a:graphicData uri="http://schemas.microsoft.com/office/word/2010/wordprocessingShape">
                    <wps:wsp>
                      <wps:cNvSpPr txBox="1"/>
                      <wps:spPr>
                        <a:xfrm>
                          <a:off x="0" y="0"/>
                          <a:ext cx="847725" cy="2667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810C929" w14:textId="77777777" w:rsidR="002C7B4A" w:rsidRPr="00447DD8" w:rsidRDefault="002C7B4A" w:rsidP="002C7B4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D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9081D9B" id="_x0000_t202" coordsize="21600,21600" o:spt="202" path="m,l,21600r21600,l21600,xe">
                <v:stroke joinstyle="miter"/>
                <v:path gradientshapeok="t" o:connecttype="rect"/>
              </v:shapetype>
              <v:shape id="Text Box 5" o:spid="_x0000_s1026" type="#_x0000_t202" style="position:absolute;left:0;text-align:left;margin-left:386.4pt;margin-top:142.05pt;width:66.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" fillcolor="#bfb1d0 [1623]" strokecolor="#795d9b [3047]">
                <v:fill color2="#ece7f1 [503]" rotate="t" angle="180" colors="0 #c9b5e8;22938f #d9cbee;1 #f0eaf9" focus="100%" type="gradient"/>
                <v:shadow on="t" color="black" opacity="24903f" origin=",.5" offset="0,.55556mm"/>
                <v:textbox>
                  <w:txbxContent>
                    <w:p w14:paraId="2810C929" w14:textId="77777777" w:rsidR="002C7B4A" w:rsidRPr="00447DD8" w:rsidRDefault="002C7B4A" w:rsidP="002C7B4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7D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Monitoring</w:t>
                      </w:r>
                    </w:p>
                  </w:txbxContent>
                </v:textbox>
                <w10:wrap anchorx="margin"/>
              </v:shape>
            </w:pict>
          </mc:Fallback>
        </mc:AlternateContent>
      </w:r>
      <w:r w:rsidR="002C7B4A" w:rsidRPr="00946E2B">
        <w:rPr>
          <w:noProof/>
        </w:rPr>
        <w:drawing>
          <wp:inline distT="0" distB="0" distL="0" distR="0" wp14:anchorId="480F9D49" wp14:editId="0ED3BC85">
            <wp:extent cx="6146800" cy="2368550"/>
            <wp:effectExtent l="0" t="0" r="0" b="0"/>
            <wp:docPr id="34343429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75B22A1" w14:textId="77777777" w:rsidR="00CF5BF6" w:rsidRDefault="00CF5BF6" w:rsidP="002C7B4A">
      <w:pPr>
        <w:spacing w:before="120" w:after="120" w:line="300" w:lineRule="atLeast"/>
        <w:jc w:val="both"/>
        <w:rPr>
          <w:rFonts w:eastAsia="MS Mincho" w:cs="Arial"/>
          <w:color w:val="000000"/>
          <w:szCs w:val="22"/>
        </w:rPr>
      </w:pPr>
    </w:p>
    <w:p w14:paraId="3112BBBC" w14:textId="77777777" w:rsidR="00E509D9" w:rsidRDefault="00E509D9" w:rsidP="00CF5BF6">
      <w:pPr>
        <w:spacing w:before="120" w:after="120" w:line="300" w:lineRule="atLeast"/>
        <w:jc w:val="both"/>
        <w:rPr>
          <w:rFonts w:eastAsia="MS Mincho" w:cs="Arial"/>
          <w:color w:val="000000"/>
          <w:szCs w:val="22"/>
        </w:rPr>
      </w:pPr>
    </w:p>
    <w:p w14:paraId="44AA0682" w14:textId="263DEF51" w:rsidR="002C7B4A" w:rsidRPr="002C7B4A" w:rsidRDefault="002C7B4A" w:rsidP="00CF5BF6">
      <w:pPr>
        <w:spacing w:before="120" w:after="120" w:line="300" w:lineRule="atLeast"/>
        <w:jc w:val="both"/>
        <w:rPr>
          <w:rFonts w:eastAsia="MS Mincho" w:cs="Arial"/>
          <w:color w:val="000000"/>
          <w:szCs w:val="22"/>
        </w:rPr>
      </w:pPr>
      <w:r>
        <w:rPr>
          <w:rFonts w:eastAsia="MS Mincho" w:cs="Arial"/>
          <w:color w:val="000000"/>
          <w:szCs w:val="22"/>
        </w:rPr>
        <w:t>Disability Services</w:t>
      </w:r>
      <w:r w:rsidRPr="002C7B4A">
        <w:rPr>
          <w:rFonts w:eastAsia="MS Mincho" w:cs="Arial"/>
          <w:color w:val="000000"/>
          <w:szCs w:val="22"/>
        </w:rPr>
        <w:t xml:space="preserve"> will encourage compliance through informing, educating, investigating and enforcing compliance, while conducting continuous monitoring to identify compliance trends and whether measures of success have been met.</w:t>
      </w:r>
    </w:p>
    <w:p w14:paraId="4ECBD2ED" w14:textId="77777777" w:rsidR="002C7B4A" w:rsidRPr="00772887" w:rsidRDefault="002C7B4A" w:rsidP="00CF5BF6">
      <w:pPr>
        <w:pStyle w:val="BodyText"/>
        <w:spacing w:before="120" w:after="120" w:line="300" w:lineRule="atLeast"/>
        <w:jc w:val="both"/>
        <w:rPr>
          <w:b/>
          <w:bCs/>
          <w:sz w:val="24"/>
        </w:rPr>
      </w:pPr>
      <w:r w:rsidRPr="00772887">
        <w:rPr>
          <w:b/>
          <w:bCs/>
          <w:sz w:val="24"/>
        </w:rPr>
        <w:t>Inform</w:t>
      </w:r>
    </w:p>
    <w:p w14:paraId="0EC1B329" w14:textId="77777777" w:rsidR="002C7B4A" w:rsidRDefault="002C7B4A" w:rsidP="00CF5BF6">
      <w:pPr>
        <w:pStyle w:val="BodyText"/>
        <w:numPr>
          <w:ilvl w:val="0"/>
          <w:numId w:val="14"/>
        </w:numPr>
        <w:spacing w:before="120" w:after="120" w:line="300" w:lineRule="atLeast"/>
        <w:jc w:val="both"/>
      </w:pPr>
      <w:r>
        <w:t xml:space="preserve">Set compliance standards in line with the legislation and engage with service providers and individuals through various publications and channels of communication to inform them of their compliance obligations. </w:t>
      </w:r>
    </w:p>
    <w:p w14:paraId="2FD071CB" w14:textId="63D53370" w:rsidR="002C7B4A" w:rsidRDefault="002C7B4A" w:rsidP="00CF5BF6">
      <w:pPr>
        <w:pStyle w:val="BodyText"/>
        <w:numPr>
          <w:ilvl w:val="0"/>
          <w:numId w:val="14"/>
        </w:numPr>
        <w:spacing w:before="120" w:after="120" w:line="300" w:lineRule="atLeast"/>
        <w:jc w:val="both"/>
      </w:pPr>
      <w:r>
        <w:t>Promote understanding of obligations under the legislation and the importance of complying, including by publishing Compliance Guidelines.</w:t>
      </w:r>
    </w:p>
    <w:p w14:paraId="6AAA36B6" w14:textId="77777777" w:rsidR="002C7B4A" w:rsidRPr="00772887" w:rsidRDefault="002C7B4A" w:rsidP="00CF5BF6">
      <w:pPr>
        <w:pStyle w:val="BodyText"/>
        <w:spacing w:before="120" w:after="120" w:line="300" w:lineRule="atLeast"/>
        <w:jc w:val="both"/>
        <w:rPr>
          <w:b/>
          <w:bCs/>
          <w:sz w:val="24"/>
        </w:rPr>
      </w:pPr>
      <w:r w:rsidRPr="00772887">
        <w:rPr>
          <w:b/>
          <w:bCs/>
          <w:sz w:val="24"/>
        </w:rPr>
        <w:t>Educate</w:t>
      </w:r>
    </w:p>
    <w:p w14:paraId="1F01C647" w14:textId="1DEAB0C6" w:rsidR="002C7B4A" w:rsidRDefault="00CF5BF6" w:rsidP="00CF5BF6">
      <w:pPr>
        <w:pStyle w:val="BodyText"/>
        <w:numPr>
          <w:ilvl w:val="0"/>
          <w:numId w:val="15"/>
        </w:numPr>
        <w:spacing w:before="120" w:after="120" w:line="300" w:lineRule="atLeast"/>
        <w:jc w:val="both"/>
      </w:pPr>
      <w:r>
        <w:t>E</w:t>
      </w:r>
      <w:r w:rsidR="002C7B4A">
        <w:t xml:space="preserve">ducate individuals and service providers on how to improve their levels of compliance through the provision of guidance and advice. </w:t>
      </w:r>
    </w:p>
    <w:p w14:paraId="22204353" w14:textId="17463DFD" w:rsidR="002C7B4A" w:rsidRDefault="00CF5BF6" w:rsidP="00CF5BF6">
      <w:pPr>
        <w:pStyle w:val="BodyText"/>
        <w:numPr>
          <w:ilvl w:val="0"/>
          <w:numId w:val="15"/>
        </w:numPr>
        <w:spacing w:before="120" w:after="120" w:line="300" w:lineRule="atLeast"/>
        <w:jc w:val="both"/>
      </w:pPr>
      <w:r>
        <w:t>E</w:t>
      </w:r>
      <w:r w:rsidR="002C7B4A">
        <w:t>ducate and empower seniors and people with disability with the knowledge they need to advocate for their rights.</w:t>
      </w:r>
    </w:p>
    <w:p w14:paraId="4AC37D1A" w14:textId="77777777" w:rsidR="002C7B4A" w:rsidRPr="00772887" w:rsidRDefault="002C7B4A" w:rsidP="00CF5BF6">
      <w:pPr>
        <w:pStyle w:val="BodyText"/>
        <w:spacing w:before="120" w:after="120" w:line="300" w:lineRule="atLeast"/>
        <w:jc w:val="both"/>
        <w:rPr>
          <w:b/>
          <w:bCs/>
          <w:sz w:val="24"/>
        </w:rPr>
      </w:pPr>
      <w:r w:rsidRPr="00772887">
        <w:rPr>
          <w:b/>
          <w:bCs/>
          <w:sz w:val="24"/>
        </w:rPr>
        <w:t>Investigate</w:t>
      </w:r>
    </w:p>
    <w:p w14:paraId="48A31FE4" w14:textId="73FADF37" w:rsidR="002C7B4A" w:rsidRDefault="00CF5BF6" w:rsidP="00CF5BF6">
      <w:pPr>
        <w:pStyle w:val="BodyText"/>
        <w:numPr>
          <w:ilvl w:val="0"/>
          <w:numId w:val="16"/>
        </w:numPr>
        <w:spacing w:before="120" w:after="120" w:line="300" w:lineRule="atLeast"/>
        <w:jc w:val="both"/>
      </w:pPr>
      <w:r>
        <w:t>I</w:t>
      </w:r>
      <w:r w:rsidR="002C7B4A">
        <w:t>nvestigate individuals and service providers in a consistent and risk-based manner to ensure obligations are met.</w:t>
      </w:r>
    </w:p>
    <w:p w14:paraId="350B58AD" w14:textId="6562EA82" w:rsidR="002C7B4A" w:rsidRDefault="00CF5BF6" w:rsidP="00CF5BF6">
      <w:pPr>
        <w:pStyle w:val="BodyText"/>
        <w:numPr>
          <w:ilvl w:val="0"/>
          <w:numId w:val="16"/>
        </w:numPr>
        <w:spacing w:before="120" w:after="120" w:line="300" w:lineRule="atLeast"/>
        <w:jc w:val="both"/>
      </w:pPr>
      <w:r>
        <w:t>C</w:t>
      </w:r>
      <w:r w:rsidR="002C7B4A">
        <w:t>onduct risk-based, proactive audits to identify breaches and where breaches are identified, apply the most appropriate intervention or enforcement response.</w:t>
      </w:r>
    </w:p>
    <w:p w14:paraId="0F55BF70" w14:textId="0998C4C7" w:rsidR="002C7B4A" w:rsidRDefault="00CF5BF6" w:rsidP="00CF5BF6">
      <w:pPr>
        <w:pStyle w:val="BodyText"/>
        <w:numPr>
          <w:ilvl w:val="0"/>
          <w:numId w:val="16"/>
        </w:numPr>
        <w:spacing w:before="120" w:after="120" w:line="300" w:lineRule="atLeast"/>
        <w:jc w:val="both"/>
      </w:pPr>
      <w:r>
        <w:t>U</w:t>
      </w:r>
      <w:r w:rsidR="002C7B4A">
        <w:t xml:space="preserve">ndertake complex financial and service quality assessments on funded organisations to recover debt or correct service quality concerns. </w:t>
      </w:r>
    </w:p>
    <w:p w14:paraId="679DF650" w14:textId="77777777" w:rsidR="002C7B4A" w:rsidRPr="00772887" w:rsidRDefault="002C7B4A" w:rsidP="00CF5BF6">
      <w:pPr>
        <w:pStyle w:val="BodyText"/>
        <w:spacing w:before="120" w:after="120" w:line="300" w:lineRule="atLeast"/>
        <w:jc w:val="both"/>
        <w:rPr>
          <w:b/>
          <w:bCs/>
          <w:sz w:val="24"/>
        </w:rPr>
      </w:pPr>
      <w:r w:rsidRPr="00772887">
        <w:rPr>
          <w:b/>
          <w:bCs/>
          <w:sz w:val="24"/>
        </w:rPr>
        <w:t>Enforce</w:t>
      </w:r>
    </w:p>
    <w:p w14:paraId="31FF57F8" w14:textId="43B857F9" w:rsidR="002C7B4A" w:rsidRDefault="002C7B4A" w:rsidP="00CF5BF6">
      <w:pPr>
        <w:pStyle w:val="BodyText"/>
        <w:numPr>
          <w:ilvl w:val="0"/>
          <w:numId w:val="17"/>
        </w:numPr>
        <w:spacing w:before="120" w:after="120" w:line="300" w:lineRule="atLeast"/>
        <w:jc w:val="both"/>
      </w:pPr>
      <w:r>
        <w:t xml:space="preserve">In instances of non-compliance, </w:t>
      </w:r>
      <w:r w:rsidR="00CF5BF6">
        <w:t xml:space="preserve">Disability Services </w:t>
      </w:r>
      <w:r>
        <w:t>will ensure each intervention or enforcement response is proportionate to the safety risk and compliance behaviour identified in each circumstance.</w:t>
      </w:r>
    </w:p>
    <w:p w14:paraId="2BDE9711" w14:textId="00F32EB3" w:rsidR="002C7B4A" w:rsidRDefault="00CF5BF6" w:rsidP="00CF5BF6">
      <w:pPr>
        <w:pStyle w:val="BodyText"/>
        <w:numPr>
          <w:ilvl w:val="0"/>
          <w:numId w:val="17"/>
        </w:numPr>
        <w:spacing w:before="120" w:after="120" w:line="300" w:lineRule="atLeast"/>
        <w:jc w:val="both"/>
      </w:pPr>
      <w:r>
        <w:t>R</w:t>
      </w:r>
      <w:r w:rsidR="002C7B4A">
        <w:t xml:space="preserve">efer matters to external agencies such as the NDIS Quality and Safeguards Commission, </w:t>
      </w:r>
      <w:r>
        <w:t xml:space="preserve">Queensland Police Service </w:t>
      </w:r>
      <w:r w:rsidR="002C7B4A">
        <w:t>and the Crime and Corruption Commission as appropriate.</w:t>
      </w:r>
    </w:p>
    <w:p w14:paraId="15563614" w14:textId="77777777" w:rsidR="002C7B4A" w:rsidRPr="00772887" w:rsidRDefault="002C7B4A" w:rsidP="00CF5BF6">
      <w:pPr>
        <w:pStyle w:val="BodyText"/>
        <w:spacing w:before="120" w:after="120" w:line="300" w:lineRule="atLeast"/>
        <w:jc w:val="both"/>
        <w:rPr>
          <w:b/>
          <w:bCs/>
          <w:sz w:val="24"/>
        </w:rPr>
      </w:pPr>
      <w:r w:rsidRPr="00772887">
        <w:rPr>
          <w:b/>
          <w:bCs/>
          <w:sz w:val="24"/>
        </w:rPr>
        <w:t>Monitor</w:t>
      </w:r>
    </w:p>
    <w:p w14:paraId="27655B02" w14:textId="544A38B2" w:rsidR="002C7B4A" w:rsidRDefault="00CF5BF6" w:rsidP="00CF5BF6">
      <w:pPr>
        <w:pStyle w:val="BodyText"/>
        <w:numPr>
          <w:ilvl w:val="0"/>
          <w:numId w:val="18"/>
        </w:numPr>
        <w:spacing w:before="120" w:after="120" w:line="300" w:lineRule="atLeast"/>
        <w:jc w:val="both"/>
      </w:pPr>
      <w:r>
        <w:t>M</w:t>
      </w:r>
      <w:r w:rsidR="002C7B4A">
        <w:t>onitor compliance matters to drive better practice and processes, ensuring service providers are acting according to standards required by the department and to identify whether measures of success have been met.</w:t>
      </w:r>
    </w:p>
    <w:p w14:paraId="3F6D754B" w14:textId="1797EA81" w:rsidR="00127C75" w:rsidRDefault="002C7B4A" w:rsidP="00CF5BF6">
      <w:pPr>
        <w:pStyle w:val="BodyText"/>
        <w:numPr>
          <w:ilvl w:val="0"/>
          <w:numId w:val="18"/>
        </w:numPr>
        <w:spacing w:before="120" w:after="120" w:line="300" w:lineRule="atLeast"/>
        <w:jc w:val="both"/>
      </w:pPr>
      <w:r>
        <w:t>Regular assessment of performance and financial reporting under contracts as per the terms of the contracts to ensure performance is as planned.</w:t>
      </w:r>
    </w:p>
    <w:p w14:paraId="70BAF038" w14:textId="77777777" w:rsidR="00E509D9" w:rsidRDefault="00E509D9">
      <w:pPr>
        <w:spacing w:after="0" w:line="240" w:lineRule="auto"/>
      </w:pPr>
    </w:p>
    <w:p w14:paraId="34D52F42" w14:textId="77777777" w:rsidR="00E509D9" w:rsidRDefault="00E509D9">
      <w:pPr>
        <w:spacing w:after="0" w:line="240" w:lineRule="auto"/>
      </w:pPr>
    </w:p>
    <w:p w14:paraId="438BC859" w14:textId="77777777" w:rsidR="00E509D9" w:rsidRDefault="00E509D9">
      <w:pPr>
        <w:spacing w:after="0" w:line="240" w:lineRule="auto"/>
      </w:pPr>
    </w:p>
    <w:p w14:paraId="4813B931" w14:textId="77777777" w:rsidR="00E509D9" w:rsidRDefault="00E509D9">
      <w:pPr>
        <w:spacing w:after="0" w:line="240" w:lineRule="auto"/>
      </w:pPr>
    </w:p>
    <w:p w14:paraId="21EBCF8F" w14:textId="77777777" w:rsidR="00E509D9" w:rsidRDefault="00E509D9">
      <w:pPr>
        <w:spacing w:after="0" w:line="240" w:lineRule="auto"/>
      </w:pPr>
    </w:p>
    <w:p w14:paraId="3455D4C5" w14:textId="77777777" w:rsidR="00E509D9" w:rsidRDefault="00E509D9">
      <w:pPr>
        <w:spacing w:after="0" w:line="240" w:lineRule="auto"/>
      </w:pPr>
    </w:p>
    <w:p w14:paraId="60778D02" w14:textId="77777777" w:rsidR="00E509D9" w:rsidRDefault="00E509D9">
      <w:pPr>
        <w:spacing w:after="0" w:line="240" w:lineRule="auto"/>
      </w:pPr>
    </w:p>
    <w:p w14:paraId="5DDAD077" w14:textId="2E4C73CC" w:rsidR="002C7B4A" w:rsidRDefault="002C7B4A" w:rsidP="002C7B4A">
      <w:pPr>
        <w:pStyle w:val="Heading2"/>
        <w:spacing w:before="240" w:after="120"/>
      </w:pPr>
      <w:r>
        <w:t>The compliance response</w:t>
      </w:r>
    </w:p>
    <w:p w14:paraId="2E7C3D93" w14:textId="71F360EB" w:rsidR="002C7B4A" w:rsidRDefault="002C7B4A" w:rsidP="002C7B4A">
      <w:pPr>
        <w:pStyle w:val="BodyText"/>
        <w:spacing w:before="120" w:after="120" w:line="300" w:lineRule="atLeast"/>
        <w:jc w:val="both"/>
      </w:pPr>
      <w:r>
        <w:t xml:space="preserve">Where a complaint or other information is received, </w:t>
      </w:r>
      <w:r w:rsidR="00772887">
        <w:t xml:space="preserve">the Enquiries and Assistance Team </w:t>
      </w:r>
      <w:r>
        <w:t>will be responsible for assessing whether the complaint raises potential compliance issues or a breach of legislation.</w:t>
      </w:r>
    </w:p>
    <w:p w14:paraId="5C5F7491" w14:textId="08D85C41" w:rsidR="002C7B4A" w:rsidRDefault="002C7B4A" w:rsidP="002C7B4A">
      <w:pPr>
        <w:pStyle w:val="BodyText"/>
        <w:spacing w:before="120" w:after="120" w:line="300" w:lineRule="atLeast"/>
        <w:jc w:val="both"/>
      </w:pPr>
      <w:r>
        <w:t xml:space="preserve">If it appears that there are compliance issues or a breach of legislation, the complaint will then be referred to the appropriate unit, who will be responsible for determining the appropriate compliance response. </w:t>
      </w:r>
    </w:p>
    <w:p w14:paraId="4173346C" w14:textId="76EC4844" w:rsidR="00643A34" w:rsidRDefault="00643A34" w:rsidP="00E509D9">
      <w:pPr>
        <w:pStyle w:val="Heading2"/>
        <w:spacing w:before="240" w:after="120"/>
      </w:pPr>
      <w:r>
        <w:t>Guiding Principles</w:t>
      </w:r>
    </w:p>
    <w:p w14:paraId="325FE3D3" w14:textId="22F15F54" w:rsidR="00643A34" w:rsidRPr="00643A34" w:rsidRDefault="00643A34" w:rsidP="00643A34">
      <w:pPr>
        <w:pStyle w:val="BodyText"/>
        <w:spacing w:before="120" w:after="120" w:line="300" w:lineRule="atLeast"/>
        <w:jc w:val="both"/>
        <w:rPr>
          <w:szCs w:val="22"/>
        </w:rPr>
      </w:pPr>
      <w:r w:rsidRPr="00643A34">
        <w:rPr>
          <w:b/>
          <w:bCs/>
          <w:szCs w:val="22"/>
        </w:rPr>
        <w:t xml:space="preserve">Consistent: </w:t>
      </w:r>
      <w:r w:rsidRPr="00643A34">
        <w:rPr>
          <w:szCs w:val="22"/>
        </w:rPr>
        <w:t>Disability Services will assess, investigate and enforce compliance consistently across comparable situations. This approach will reduce inconsistency related to enforcement activities and responses.</w:t>
      </w:r>
    </w:p>
    <w:p w14:paraId="75E47889" w14:textId="0C609858" w:rsidR="00643A34" w:rsidRPr="00643A34" w:rsidRDefault="00643A34" w:rsidP="00643A34">
      <w:pPr>
        <w:pStyle w:val="BodyText"/>
        <w:spacing w:before="120" w:after="120" w:line="300" w:lineRule="atLeast"/>
        <w:jc w:val="both"/>
        <w:rPr>
          <w:szCs w:val="22"/>
        </w:rPr>
      </w:pPr>
      <w:r w:rsidRPr="00643A34">
        <w:rPr>
          <w:b/>
          <w:bCs/>
          <w:szCs w:val="22"/>
        </w:rPr>
        <w:t xml:space="preserve">Effective: </w:t>
      </w:r>
      <w:r w:rsidRPr="00643A34">
        <w:rPr>
          <w:szCs w:val="22"/>
        </w:rPr>
        <w:t>Disability Services will plan and conduct efficient and effective compliance, enforcement and investigative activities and by doing so seek to improve the overall governance of the sector.</w:t>
      </w:r>
    </w:p>
    <w:p w14:paraId="2FF4AAC8" w14:textId="5D5FB3D0" w:rsidR="00643A34" w:rsidRPr="00643A34" w:rsidRDefault="00643A34" w:rsidP="00643A34">
      <w:pPr>
        <w:pStyle w:val="BodyText"/>
        <w:spacing w:before="120" w:after="120" w:line="300" w:lineRule="atLeast"/>
        <w:jc w:val="both"/>
        <w:rPr>
          <w:szCs w:val="22"/>
        </w:rPr>
      </w:pPr>
      <w:r w:rsidRPr="00643A34">
        <w:rPr>
          <w:b/>
          <w:bCs/>
          <w:szCs w:val="22"/>
        </w:rPr>
        <w:t xml:space="preserve">Proportionate: </w:t>
      </w:r>
      <w:r w:rsidRPr="00643A34">
        <w:rPr>
          <w:szCs w:val="22"/>
        </w:rPr>
        <w:t>Disability Services will undertake compliance and enforcement activities that are proportionate to the risks and compliance history and behaviour of the individual or service provider.</w:t>
      </w:r>
    </w:p>
    <w:p w14:paraId="6BEBC2E1" w14:textId="68F7AB0C" w:rsidR="00643A34" w:rsidRPr="00643A34" w:rsidRDefault="00643A34" w:rsidP="00643A34">
      <w:pPr>
        <w:pStyle w:val="BodyText"/>
        <w:spacing w:before="120" w:after="120" w:line="300" w:lineRule="atLeast"/>
        <w:jc w:val="both"/>
        <w:rPr>
          <w:szCs w:val="22"/>
        </w:rPr>
      </w:pPr>
      <w:r w:rsidRPr="00643A34">
        <w:rPr>
          <w:b/>
          <w:bCs/>
          <w:szCs w:val="22"/>
        </w:rPr>
        <w:t xml:space="preserve">Fair and Transparent: </w:t>
      </w:r>
      <w:r w:rsidRPr="00643A34">
        <w:rPr>
          <w:szCs w:val="22"/>
        </w:rPr>
        <w:t>Disability Services will conduct compliance and enforcement activity in a consistent and transparent manner, based on the principles of procedural fairness and accountability.</w:t>
      </w:r>
    </w:p>
    <w:p w14:paraId="7049FD01" w14:textId="77777777" w:rsidR="00643A34" w:rsidRPr="00056D29" w:rsidRDefault="00643A34" w:rsidP="00E509D9">
      <w:pPr>
        <w:pStyle w:val="Heading2"/>
        <w:spacing w:before="240" w:after="120" w:line="300" w:lineRule="atLeast"/>
      </w:pPr>
      <w:r w:rsidRPr="00056D29">
        <w:t>Types of response</w:t>
      </w:r>
    </w:p>
    <w:p w14:paraId="617C114A" w14:textId="563263BF" w:rsidR="00643A34" w:rsidRPr="00643A34"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 xml:space="preserve">The proportionate response to non-compliance is used to discourage non-compliance or where co-operative approaches are not available, to protect people with disability in Queensland.  </w:t>
      </w:r>
    </w:p>
    <w:p w14:paraId="524315F3" w14:textId="77777777" w:rsidR="00643A34" w:rsidRPr="00643A34"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The Acts provide the following tools to help identify, manage and respond to non-compliance, including:</w:t>
      </w:r>
    </w:p>
    <w:p w14:paraId="72ADDA06" w14:textId="631E8090" w:rsidR="00643A34" w:rsidRPr="00643A34" w:rsidRDefault="00643A34" w:rsidP="00643A34">
      <w:pPr>
        <w:numPr>
          <w:ilvl w:val="0"/>
          <w:numId w:val="19"/>
        </w:numPr>
        <w:spacing w:before="120" w:after="120" w:line="300" w:lineRule="atLeast"/>
        <w:jc w:val="both"/>
        <w:rPr>
          <w:rFonts w:eastAsia="Cambria" w:cs="Arial"/>
          <w:szCs w:val="22"/>
        </w:rPr>
      </w:pPr>
      <w:r w:rsidRPr="00643A34">
        <w:rPr>
          <w:rFonts w:eastAsia="Cambria" w:cs="Arial"/>
          <w:szCs w:val="22"/>
        </w:rPr>
        <w:t>Co-operative Approach (s</w:t>
      </w:r>
      <w:r>
        <w:rPr>
          <w:rFonts w:eastAsia="Cambria" w:cs="Arial"/>
          <w:szCs w:val="22"/>
        </w:rPr>
        <w:t>.</w:t>
      </w:r>
      <w:r w:rsidRPr="00643A34">
        <w:rPr>
          <w:rFonts w:eastAsia="Cambria" w:cs="Arial"/>
          <w:szCs w:val="22"/>
        </w:rPr>
        <w:t xml:space="preserve">15 </w:t>
      </w:r>
      <w:r w:rsidRPr="00643A34">
        <w:rPr>
          <w:rFonts w:eastAsia="Cambria" w:cs="Arial"/>
          <w:i/>
          <w:iCs/>
          <w:szCs w:val="22"/>
        </w:rPr>
        <w:t>Community Services Act 2007</w:t>
      </w:r>
      <w:r w:rsidRPr="00643A34">
        <w:rPr>
          <w:rFonts w:eastAsia="Cambria" w:cs="Arial"/>
          <w:szCs w:val="22"/>
        </w:rPr>
        <w:t>)</w:t>
      </w:r>
    </w:p>
    <w:p w14:paraId="129214B7" w14:textId="6C214B67" w:rsidR="00643A34" w:rsidRPr="00643A34" w:rsidRDefault="00643A34" w:rsidP="00643A34">
      <w:pPr>
        <w:numPr>
          <w:ilvl w:val="0"/>
          <w:numId w:val="19"/>
        </w:numPr>
        <w:spacing w:before="120" w:after="120" w:line="300" w:lineRule="atLeast"/>
        <w:jc w:val="both"/>
        <w:rPr>
          <w:rFonts w:eastAsia="Cambria" w:cs="Arial"/>
          <w:szCs w:val="22"/>
        </w:rPr>
      </w:pPr>
      <w:r w:rsidRPr="00643A34">
        <w:rPr>
          <w:rFonts w:eastAsia="Cambria" w:cs="Arial"/>
          <w:szCs w:val="22"/>
        </w:rPr>
        <w:t>Compliance Notice (s</w:t>
      </w:r>
      <w:r>
        <w:rPr>
          <w:rFonts w:eastAsia="Cambria" w:cs="Arial"/>
          <w:szCs w:val="22"/>
        </w:rPr>
        <w:t>.</w:t>
      </w:r>
      <w:r w:rsidRPr="00643A34">
        <w:rPr>
          <w:rFonts w:eastAsia="Cambria" w:cs="Arial"/>
          <w:szCs w:val="22"/>
        </w:rPr>
        <w:t xml:space="preserve">19 </w:t>
      </w:r>
      <w:r w:rsidRPr="00643A34">
        <w:rPr>
          <w:rFonts w:eastAsia="Cambria" w:cs="Arial"/>
          <w:i/>
          <w:iCs/>
          <w:szCs w:val="22"/>
        </w:rPr>
        <w:t>Community Services Act 2007</w:t>
      </w:r>
      <w:r w:rsidRPr="00643A34">
        <w:rPr>
          <w:rFonts w:eastAsia="Cambria" w:cs="Arial"/>
          <w:szCs w:val="22"/>
        </w:rPr>
        <w:t>)</w:t>
      </w:r>
    </w:p>
    <w:p w14:paraId="09315FC4" w14:textId="59B595BA" w:rsidR="00643A34" w:rsidRPr="00643A34" w:rsidRDefault="00643A34" w:rsidP="00643A34">
      <w:pPr>
        <w:numPr>
          <w:ilvl w:val="0"/>
          <w:numId w:val="19"/>
        </w:numPr>
        <w:spacing w:before="120" w:after="120" w:line="300" w:lineRule="atLeast"/>
        <w:jc w:val="both"/>
        <w:rPr>
          <w:rFonts w:eastAsia="Cambria" w:cs="Arial"/>
          <w:szCs w:val="22"/>
        </w:rPr>
      </w:pPr>
      <w:r w:rsidRPr="00643A34">
        <w:rPr>
          <w:rFonts w:eastAsia="Cambria" w:cs="Arial"/>
          <w:szCs w:val="22"/>
        </w:rPr>
        <w:t>Compliance Investigation (s</w:t>
      </w:r>
      <w:r>
        <w:rPr>
          <w:rFonts w:eastAsia="Cambria" w:cs="Arial"/>
          <w:szCs w:val="22"/>
        </w:rPr>
        <w:t>.</w:t>
      </w:r>
      <w:r w:rsidRPr="00643A34">
        <w:rPr>
          <w:rFonts w:eastAsia="Cambria" w:cs="Arial"/>
          <w:szCs w:val="22"/>
        </w:rPr>
        <w:t xml:space="preserve">16 </w:t>
      </w:r>
      <w:r w:rsidRPr="00643A34">
        <w:rPr>
          <w:rFonts w:eastAsia="Cambria" w:cs="Arial"/>
          <w:i/>
          <w:iCs/>
          <w:szCs w:val="22"/>
        </w:rPr>
        <w:t>Community Services Act 2007</w:t>
      </w:r>
      <w:r w:rsidRPr="00643A34">
        <w:rPr>
          <w:rFonts w:eastAsia="Cambria" w:cs="Arial"/>
          <w:szCs w:val="22"/>
        </w:rPr>
        <w:t>)</w:t>
      </w:r>
    </w:p>
    <w:p w14:paraId="463386EB" w14:textId="1E00C839" w:rsidR="00643A34" w:rsidRPr="00643A34" w:rsidRDefault="00643A34" w:rsidP="00643A34">
      <w:pPr>
        <w:numPr>
          <w:ilvl w:val="0"/>
          <w:numId w:val="19"/>
        </w:numPr>
        <w:spacing w:before="120" w:after="120" w:line="300" w:lineRule="atLeast"/>
        <w:jc w:val="both"/>
        <w:rPr>
          <w:rFonts w:eastAsia="Cambria" w:cs="Arial"/>
          <w:szCs w:val="22"/>
        </w:rPr>
      </w:pPr>
      <w:r w:rsidRPr="00643A34">
        <w:rPr>
          <w:rFonts w:eastAsia="Cambria" w:cs="Arial"/>
          <w:szCs w:val="22"/>
        </w:rPr>
        <w:t>Proceedings (s</w:t>
      </w:r>
      <w:r>
        <w:rPr>
          <w:rFonts w:eastAsia="Cambria" w:cs="Arial"/>
          <w:szCs w:val="22"/>
        </w:rPr>
        <w:t>.</w:t>
      </w:r>
      <w:r w:rsidRPr="00643A34">
        <w:rPr>
          <w:rFonts w:eastAsia="Cambria" w:cs="Arial"/>
          <w:szCs w:val="22"/>
        </w:rPr>
        <w:t xml:space="preserve">103 </w:t>
      </w:r>
      <w:r w:rsidRPr="00643A34">
        <w:rPr>
          <w:rFonts w:eastAsia="Cambria" w:cs="Arial"/>
          <w:i/>
          <w:iCs/>
          <w:szCs w:val="22"/>
        </w:rPr>
        <w:t>Guide Hearing and Assistant Dogs Act 2009</w:t>
      </w:r>
      <w:r w:rsidRPr="00643A34">
        <w:rPr>
          <w:rFonts w:eastAsia="Cambria" w:cs="Arial"/>
          <w:szCs w:val="22"/>
        </w:rPr>
        <w:t xml:space="preserve">, Part 7 of </w:t>
      </w:r>
      <w:r w:rsidRPr="00643A34">
        <w:rPr>
          <w:rFonts w:eastAsia="Cambria" w:cs="Arial"/>
          <w:i/>
          <w:iCs/>
          <w:szCs w:val="22"/>
        </w:rPr>
        <w:t>Community Services Act 2007</w:t>
      </w:r>
      <w:r w:rsidRPr="00643A34">
        <w:rPr>
          <w:rFonts w:eastAsia="Cambria" w:cs="Arial"/>
          <w:szCs w:val="22"/>
        </w:rPr>
        <w:t>).</w:t>
      </w:r>
    </w:p>
    <w:p w14:paraId="40790C08" w14:textId="13DB2B23" w:rsidR="00643A34" w:rsidRPr="00643A34"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 xml:space="preserve">Some actions or compliance tools are alternatives, while others are used in combination. Using a range of tools may often achieve compliance quickly without needing to escalate to more serious enforcement action. However, it is open to </w:t>
      </w:r>
      <w:r>
        <w:rPr>
          <w:rFonts w:eastAsia="MS Mincho" w:cs="Arial"/>
          <w:color w:val="000000"/>
          <w:szCs w:val="22"/>
        </w:rPr>
        <w:t>Disability Services</w:t>
      </w:r>
      <w:r w:rsidRPr="00643A34">
        <w:rPr>
          <w:rFonts w:eastAsia="MS Mincho" w:cs="Arial"/>
          <w:color w:val="000000"/>
          <w:szCs w:val="22"/>
        </w:rPr>
        <w:t xml:space="preserve"> to proceed directly with the strongest actions in a particular case.</w:t>
      </w:r>
    </w:p>
    <w:p w14:paraId="74A4C80F" w14:textId="77777777" w:rsidR="00643A34" w:rsidRPr="00643A34"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 xml:space="preserve">Examples of </w:t>
      </w:r>
      <w:r w:rsidRPr="00643A34">
        <w:rPr>
          <w:rFonts w:eastAsia="MS Mincho" w:cs="Arial"/>
          <w:b/>
          <w:color w:val="000000"/>
          <w:szCs w:val="22"/>
        </w:rPr>
        <w:t xml:space="preserve">high risk/serious non-compliance </w:t>
      </w:r>
      <w:r w:rsidRPr="00643A34">
        <w:rPr>
          <w:rFonts w:eastAsia="MS Mincho" w:cs="Arial"/>
          <w:color w:val="000000"/>
          <w:szCs w:val="22"/>
        </w:rPr>
        <w:t>may</w:t>
      </w:r>
      <w:r w:rsidRPr="00643A34">
        <w:rPr>
          <w:rFonts w:eastAsia="MS Mincho" w:cs="Arial"/>
          <w:b/>
          <w:color w:val="000000"/>
          <w:szCs w:val="22"/>
        </w:rPr>
        <w:t xml:space="preserve"> </w:t>
      </w:r>
      <w:r w:rsidRPr="00643A34">
        <w:rPr>
          <w:rFonts w:eastAsia="MS Mincho" w:cs="Arial"/>
          <w:color w:val="000000"/>
          <w:szCs w:val="22"/>
        </w:rPr>
        <w:t>include:</w:t>
      </w:r>
    </w:p>
    <w:p w14:paraId="709BD2AB" w14:textId="7CABF048" w:rsidR="00643A34" w:rsidRPr="00643A34" w:rsidRDefault="00643A34" w:rsidP="00643A34">
      <w:pPr>
        <w:numPr>
          <w:ilvl w:val="0"/>
          <w:numId w:val="20"/>
        </w:numPr>
        <w:spacing w:before="120" w:after="120" w:line="300" w:lineRule="atLeast"/>
        <w:jc w:val="both"/>
        <w:rPr>
          <w:rFonts w:eastAsia="Cambria" w:cs="Arial"/>
          <w:color w:val="000000"/>
          <w:szCs w:val="22"/>
        </w:rPr>
      </w:pPr>
      <w:r w:rsidRPr="00643A34">
        <w:rPr>
          <w:rFonts w:eastAsia="Cambria" w:cs="Arial"/>
          <w:szCs w:val="22"/>
        </w:rPr>
        <w:t xml:space="preserve">the alleged abuse, neglect or exploitation of a client </w:t>
      </w:r>
    </w:p>
    <w:p w14:paraId="24EDE7A1" w14:textId="77777777" w:rsidR="00643A34" w:rsidRPr="00643A34" w:rsidRDefault="00643A34" w:rsidP="00643A34">
      <w:pPr>
        <w:numPr>
          <w:ilvl w:val="0"/>
          <w:numId w:val="20"/>
        </w:numPr>
        <w:spacing w:before="120" w:after="120" w:line="300" w:lineRule="atLeast"/>
        <w:jc w:val="both"/>
        <w:rPr>
          <w:rFonts w:eastAsia="Cambria" w:cs="Arial"/>
          <w:szCs w:val="22"/>
        </w:rPr>
      </w:pPr>
      <w:r w:rsidRPr="00643A34">
        <w:rPr>
          <w:rFonts w:eastAsia="Cambria" w:cs="Arial"/>
          <w:szCs w:val="22"/>
        </w:rPr>
        <w:t xml:space="preserve">allegation of a criminal offence against the law of the State or Commonwealth </w:t>
      </w:r>
    </w:p>
    <w:p w14:paraId="55DBC88E" w14:textId="77777777" w:rsidR="00643A34" w:rsidRPr="00643A34" w:rsidRDefault="00643A34" w:rsidP="00643A34">
      <w:pPr>
        <w:numPr>
          <w:ilvl w:val="0"/>
          <w:numId w:val="20"/>
        </w:numPr>
        <w:spacing w:before="120" w:after="120" w:line="300" w:lineRule="atLeast"/>
        <w:jc w:val="both"/>
        <w:rPr>
          <w:rFonts w:eastAsia="Cambria" w:cs="Arial"/>
          <w:color w:val="000000"/>
          <w:szCs w:val="22"/>
        </w:rPr>
      </w:pPr>
      <w:r w:rsidRPr="00643A34">
        <w:rPr>
          <w:rFonts w:eastAsia="Cambria" w:cs="Arial"/>
          <w:szCs w:val="22"/>
        </w:rPr>
        <w:t>repeated breaches of the legislation, despite receiving education and support to comply, and</w:t>
      </w:r>
    </w:p>
    <w:p w14:paraId="6BA9CAD9" w14:textId="77777777" w:rsidR="00643A34" w:rsidRPr="00643A34" w:rsidRDefault="00643A34" w:rsidP="00643A34">
      <w:pPr>
        <w:numPr>
          <w:ilvl w:val="0"/>
          <w:numId w:val="20"/>
        </w:numPr>
        <w:spacing w:before="120" w:after="120" w:line="300" w:lineRule="atLeast"/>
        <w:jc w:val="both"/>
        <w:rPr>
          <w:rFonts w:eastAsia="Cambria" w:cs="Arial"/>
          <w:szCs w:val="22"/>
        </w:rPr>
      </w:pPr>
      <w:r w:rsidRPr="00643A34">
        <w:rPr>
          <w:rFonts w:eastAsia="Cambria" w:cs="Arial"/>
          <w:szCs w:val="22"/>
        </w:rPr>
        <w:t xml:space="preserve">the non-compliance is suggestive of a broader systemic issue. </w:t>
      </w:r>
    </w:p>
    <w:p w14:paraId="38C1054F" w14:textId="77777777" w:rsidR="00643A34" w:rsidRDefault="00643A34">
      <w:pPr>
        <w:spacing w:after="0" w:line="240" w:lineRule="auto"/>
        <w:rPr>
          <w:rFonts w:eastAsia="MS Mincho" w:cs="Arial"/>
          <w:color w:val="000000"/>
          <w:szCs w:val="22"/>
        </w:rPr>
      </w:pPr>
      <w:r>
        <w:rPr>
          <w:rFonts w:eastAsia="MS Mincho" w:cs="Arial"/>
          <w:color w:val="000000"/>
          <w:szCs w:val="22"/>
        </w:rPr>
        <w:br w:type="page"/>
      </w:r>
    </w:p>
    <w:p w14:paraId="50660874" w14:textId="5CBC2414" w:rsidR="00643A34" w:rsidRPr="00643A34" w:rsidRDefault="00643A34" w:rsidP="00643A34">
      <w:pPr>
        <w:spacing w:before="120" w:after="120" w:line="300" w:lineRule="atLeast"/>
        <w:jc w:val="both"/>
        <w:rPr>
          <w:rFonts w:eastAsia="MS Mincho" w:cs="Arial"/>
          <w:b/>
          <w:color w:val="000000"/>
          <w:szCs w:val="22"/>
        </w:rPr>
      </w:pPr>
      <w:r w:rsidRPr="00643A34">
        <w:rPr>
          <w:rFonts w:eastAsia="MS Mincho" w:cs="Arial"/>
          <w:color w:val="000000"/>
          <w:szCs w:val="22"/>
        </w:rPr>
        <w:lastRenderedPageBreak/>
        <w:t xml:space="preserve">Examples of </w:t>
      </w:r>
      <w:r w:rsidRPr="00643A34">
        <w:rPr>
          <w:rFonts w:eastAsia="MS Mincho" w:cs="Arial"/>
          <w:b/>
          <w:color w:val="000000"/>
          <w:szCs w:val="22"/>
        </w:rPr>
        <w:t xml:space="preserve">medium risk non-compliance </w:t>
      </w:r>
      <w:r w:rsidRPr="00643A34">
        <w:rPr>
          <w:rFonts w:eastAsia="MS Mincho" w:cs="Arial"/>
          <w:color w:val="000000"/>
          <w:szCs w:val="22"/>
        </w:rPr>
        <w:t>may</w:t>
      </w:r>
      <w:r w:rsidRPr="00643A34">
        <w:rPr>
          <w:rFonts w:eastAsia="MS Mincho" w:cs="Arial"/>
          <w:b/>
          <w:color w:val="000000"/>
          <w:szCs w:val="22"/>
        </w:rPr>
        <w:t xml:space="preserve"> </w:t>
      </w:r>
      <w:r w:rsidRPr="00643A34">
        <w:rPr>
          <w:rFonts w:eastAsia="MS Mincho" w:cs="Arial"/>
          <w:color w:val="000000"/>
          <w:szCs w:val="22"/>
        </w:rPr>
        <w:t>include</w:t>
      </w:r>
      <w:r w:rsidRPr="00643A34">
        <w:rPr>
          <w:rFonts w:eastAsia="MS Mincho" w:cs="Arial"/>
          <w:b/>
          <w:color w:val="000000"/>
          <w:szCs w:val="22"/>
        </w:rPr>
        <w:t>:</w:t>
      </w:r>
    </w:p>
    <w:p w14:paraId="755F2686" w14:textId="2DC7F4D1" w:rsidR="00643A34" w:rsidRPr="00643A34" w:rsidRDefault="00643A34" w:rsidP="00643A34">
      <w:pPr>
        <w:numPr>
          <w:ilvl w:val="0"/>
          <w:numId w:val="20"/>
        </w:numPr>
        <w:spacing w:before="120" w:after="120" w:line="300" w:lineRule="atLeast"/>
        <w:jc w:val="both"/>
        <w:rPr>
          <w:rFonts w:eastAsia="Cambria" w:cs="Arial"/>
          <w:szCs w:val="22"/>
        </w:rPr>
      </w:pPr>
      <w:r w:rsidRPr="00643A34">
        <w:rPr>
          <w:rFonts w:eastAsia="Cambria" w:cs="Arial"/>
          <w:szCs w:val="22"/>
        </w:rPr>
        <w:t>the alleged non-compliance may lead to an increased risk of abuse, neglect or exploitation of a client, and</w:t>
      </w:r>
    </w:p>
    <w:p w14:paraId="5E55E175" w14:textId="77777777" w:rsidR="00643A34" w:rsidRPr="00643A34" w:rsidRDefault="00643A34" w:rsidP="00643A34">
      <w:pPr>
        <w:numPr>
          <w:ilvl w:val="0"/>
          <w:numId w:val="20"/>
        </w:numPr>
        <w:spacing w:before="120" w:after="120" w:line="300" w:lineRule="atLeast"/>
        <w:jc w:val="both"/>
        <w:rPr>
          <w:rFonts w:eastAsia="Cambria" w:cs="Arial"/>
          <w:szCs w:val="22"/>
        </w:rPr>
      </w:pPr>
      <w:r w:rsidRPr="00643A34">
        <w:rPr>
          <w:rFonts w:eastAsia="Cambria" w:cs="Arial"/>
          <w:szCs w:val="22"/>
        </w:rPr>
        <w:t>an alleged misuse of funds provided under a funding agreement (that is not an offence against the law of the State or Commonwealth).</w:t>
      </w:r>
    </w:p>
    <w:p w14:paraId="5128AE65" w14:textId="31D77AD3" w:rsidR="00643A34" w:rsidRPr="00643A34" w:rsidRDefault="00643A34" w:rsidP="00643A34">
      <w:pPr>
        <w:suppressAutoHyphens/>
        <w:spacing w:before="120" w:after="120" w:line="300" w:lineRule="atLeast"/>
        <w:jc w:val="both"/>
        <w:rPr>
          <w:rFonts w:eastAsia="MS Mincho" w:cs="Arial"/>
          <w:color w:val="000000"/>
          <w:szCs w:val="22"/>
        </w:rPr>
      </w:pPr>
      <w:r w:rsidRPr="00643A34">
        <w:rPr>
          <w:rFonts w:eastAsia="MS Mincho" w:cs="Arial"/>
          <w:color w:val="000000"/>
          <w:szCs w:val="22"/>
        </w:rPr>
        <w:t>Examples of</w:t>
      </w:r>
      <w:r w:rsidRPr="00643A34">
        <w:rPr>
          <w:rFonts w:eastAsia="MS Mincho" w:cs="Arial"/>
          <w:b/>
          <w:color w:val="000000"/>
          <w:szCs w:val="22"/>
        </w:rPr>
        <w:t xml:space="preserve"> </w:t>
      </w:r>
      <w:r w:rsidR="00363318" w:rsidRPr="00643A34">
        <w:rPr>
          <w:rFonts w:eastAsia="MS Mincho" w:cs="Arial"/>
          <w:b/>
          <w:color w:val="000000"/>
          <w:szCs w:val="22"/>
        </w:rPr>
        <w:t>low-risk</w:t>
      </w:r>
      <w:r w:rsidRPr="00643A34">
        <w:rPr>
          <w:rFonts w:eastAsia="MS Mincho" w:cs="Arial"/>
          <w:b/>
          <w:color w:val="000000"/>
          <w:szCs w:val="22"/>
        </w:rPr>
        <w:t xml:space="preserve"> non-compliance </w:t>
      </w:r>
      <w:r w:rsidRPr="00643A34">
        <w:rPr>
          <w:rFonts w:eastAsia="MS Mincho" w:cs="Arial"/>
          <w:color w:val="000000"/>
          <w:szCs w:val="22"/>
        </w:rPr>
        <w:t>may</w:t>
      </w:r>
      <w:r w:rsidRPr="00643A34">
        <w:rPr>
          <w:rFonts w:eastAsia="MS Mincho" w:cs="Arial"/>
          <w:b/>
          <w:color w:val="000000"/>
          <w:szCs w:val="22"/>
        </w:rPr>
        <w:t xml:space="preserve"> </w:t>
      </w:r>
      <w:r w:rsidRPr="00643A34">
        <w:rPr>
          <w:rFonts w:eastAsia="MS Mincho" w:cs="Arial"/>
          <w:color w:val="000000"/>
          <w:szCs w:val="22"/>
        </w:rPr>
        <w:t>include:</w:t>
      </w:r>
    </w:p>
    <w:p w14:paraId="20B7462A" w14:textId="77777777" w:rsidR="00643A34" w:rsidRPr="00643A34" w:rsidRDefault="00643A34" w:rsidP="00643A34">
      <w:pPr>
        <w:numPr>
          <w:ilvl w:val="0"/>
          <w:numId w:val="21"/>
        </w:numPr>
        <w:suppressAutoHyphens/>
        <w:spacing w:before="120" w:after="120" w:line="300" w:lineRule="atLeast"/>
        <w:jc w:val="both"/>
        <w:rPr>
          <w:rFonts w:eastAsia="Cambria" w:cs="Arial"/>
        </w:rPr>
      </w:pPr>
      <w:r w:rsidRPr="00643A34">
        <w:rPr>
          <w:rFonts w:eastAsia="Cambria" w:cs="Arial"/>
          <w:szCs w:val="22"/>
        </w:rPr>
        <w:t>breaches that can be effectively and efficiently dealt with other than by investigation, or behaviour unlikely to impact on the sector or cause client detriment.</w:t>
      </w:r>
    </w:p>
    <w:p w14:paraId="7D820101" w14:textId="77777777" w:rsidR="00643A34" w:rsidRPr="00643A34" w:rsidRDefault="00643A34" w:rsidP="0067736F">
      <w:pPr>
        <w:pStyle w:val="Heading2"/>
        <w:spacing w:before="240" w:after="120" w:line="300" w:lineRule="atLeast"/>
      </w:pPr>
      <w:r w:rsidRPr="00643A34">
        <w:t>Authorised Officers</w:t>
      </w:r>
    </w:p>
    <w:p w14:paraId="7672D8C2" w14:textId="77777777" w:rsidR="0067736F"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 xml:space="preserve">In order to perform the full range of compliance, inquiry and enforcement functions, officers must be appointed as Authorised Officers under the </w:t>
      </w:r>
      <w:r w:rsidRPr="00643A34">
        <w:rPr>
          <w:rFonts w:eastAsia="MS Mincho" w:cs="Arial"/>
          <w:i/>
          <w:iCs/>
          <w:color w:val="000000"/>
          <w:szCs w:val="22"/>
        </w:rPr>
        <w:t>Community Services Act 2007</w:t>
      </w:r>
      <w:r w:rsidRPr="00643A34">
        <w:rPr>
          <w:rFonts w:eastAsia="MS Mincho" w:cs="Arial"/>
          <w:color w:val="000000"/>
          <w:szCs w:val="22"/>
        </w:rPr>
        <w:t xml:space="preserve"> and/or </w:t>
      </w:r>
      <w:r w:rsidRPr="00643A34">
        <w:rPr>
          <w:rFonts w:eastAsia="MS Mincho" w:cs="Arial"/>
          <w:i/>
          <w:iCs/>
          <w:color w:val="000000"/>
          <w:szCs w:val="22"/>
        </w:rPr>
        <w:t>Guide Hearing and Assistance Dogs Act 2009</w:t>
      </w:r>
      <w:r w:rsidRPr="00643A34">
        <w:rPr>
          <w:rFonts w:eastAsia="MS Mincho" w:cs="Arial"/>
          <w:color w:val="000000"/>
          <w:szCs w:val="22"/>
        </w:rPr>
        <w:t xml:space="preserve">. Power to authorise these appointments rests with the Director-General of the </w:t>
      </w:r>
      <w:r>
        <w:rPr>
          <w:rFonts w:eastAsia="MS Mincho" w:cs="Arial"/>
          <w:color w:val="000000"/>
          <w:szCs w:val="22"/>
        </w:rPr>
        <w:t>d</w:t>
      </w:r>
      <w:r w:rsidRPr="00643A34">
        <w:rPr>
          <w:rFonts w:eastAsia="MS Mincho" w:cs="Arial"/>
          <w:color w:val="000000"/>
          <w:szCs w:val="22"/>
        </w:rPr>
        <w:t xml:space="preserve">epartment. </w:t>
      </w:r>
    </w:p>
    <w:p w14:paraId="7F6D8D61" w14:textId="1E852F43" w:rsidR="00643A34" w:rsidRPr="00643A34" w:rsidRDefault="00643A34" w:rsidP="00643A34">
      <w:pPr>
        <w:spacing w:before="120" w:after="120" w:line="300" w:lineRule="atLeast"/>
        <w:jc w:val="both"/>
        <w:rPr>
          <w:rFonts w:eastAsia="MS Mincho" w:cs="Arial"/>
          <w:color w:val="000000"/>
          <w:szCs w:val="22"/>
        </w:rPr>
      </w:pPr>
      <w:r w:rsidRPr="00643A34">
        <w:rPr>
          <w:rFonts w:eastAsia="MS Mincho" w:cs="Arial"/>
          <w:color w:val="000000"/>
          <w:szCs w:val="22"/>
        </w:rPr>
        <w:t xml:space="preserve">Prior to appointment as an Authorised Officer, a person must satisfy the Chief Executive of their suitability for appointment, including providing evidence of their capabilities to conduct investigative functions. </w:t>
      </w:r>
    </w:p>
    <w:p w14:paraId="292FD637" w14:textId="77777777" w:rsidR="00643A34" w:rsidRPr="00DD1D96" w:rsidRDefault="00643A34" w:rsidP="0067736F">
      <w:pPr>
        <w:pStyle w:val="Heading2"/>
        <w:spacing w:before="240" w:after="120" w:line="300" w:lineRule="atLeast"/>
      </w:pPr>
      <w:r w:rsidRPr="00DD1D96">
        <w:t>Monitoring Action under the Compliance Strategy</w:t>
      </w:r>
    </w:p>
    <w:p w14:paraId="2B39D3A6" w14:textId="175B91C7" w:rsidR="00643A34" w:rsidRDefault="00643A34" w:rsidP="00643A34">
      <w:pPr>
        <w:spacing w:after="0" w:line="240" w:lineRule="auto"/>
        <w:rPr>
          <w:rFonts w:eastAsia="MS Mincho"/>
          <w:color w:val="000000"/>
          <w:szCs w:val="22"/>
        </w:rPr>
      </w:pPr>
      <w:r w:rsidRPr="00DD1D96">
        <w:rPr>
          <w:rFonts w:eastAsia="MS Mincho"/>
          <w:color w:val="000000"/>
          <w:szCs w:val="22"/>
        </w:rPr>
        <w:t xml:space="preserve">The Compliance Strategy will be reviewed every two years. </w:t>
      </w:r>
    </w:p>
    <w:p w14:paraId="4B8760BB" w14:textId="77777777" w:rsidR="00715ED7" w:rsidRDefault="00715ED7" w:rsidP="00643A34">
      <w:pPr>
        <w:spacing w:after="0" w:line="240" w:lineRule="auto"/>
        <w:rPr>
          <w:rFonts w:eastAsia="MS Mincho"/>
          <w:color w:val="000000"/>
          <w:szCs w:val="22"/>
        </w:rPr>
      </w:pPr>
    </w:p>
    <w:p w14:paraId="12C15902" w14:textId="77777777" w:rsidR="00715ED7" w:rsidRPr="000F3089" w:rsidRDefault="00715ED7" w:rsidP="00715ED7">
      <w:pPr>
        <w:pBdr>
          <w:bottom w:val="single" w:sz="4" w:space="1" w:color="auto"/>
        </w:pBdr>
        <w:rPr>
          <w:szCs w:val="22"/>
        </w:rPr>
      </w:pPr>
    </w:p>
    <w:p w14:paraId="3BE4427A" w14:textId="0684B399" w:rsidR="00715ED7" w:rsidRPr="000F3089" w:rsidRDefault="00715ED7" w:rsidP="00E509D9">
      <w:pPr>
        <w:tabs>
          <w:tab w:val="left" w:pos="2552"/>
        </w:tabs>
        <w:spacing w:before="240" w:after="240" w:line="300" w:lineRule="atLeast"/>
        <w:rPr>
          <w:szCs w:val="22"/>
        </w:rPr>
      </w:pPr>
      <w:r w:rsidRPr="000F3089">
        <w:rPr>
          <w:b/>
          <w:szCs w:val="22"/>
        </w:rPr>
        <w:t>Date of approval:</w:t>
      </w:r>
      <w:r w:rsidRPr="000F3089">
        <w:rPr>
          <w:szCs w:val="22"/>
        </w:rPr>
        <w:tab/>
      </w:r>
      <w:r>
        <w:rPr>
          <w:szCs w:val="22"/>
        </w:rPr>
        <w:t>April 2023</w:t>
      </w:r>
    </w:p>
    <w:p w14:paraId="5DC79DE9" w14:textId="6A5D94F3" w:rsidR="00715ED7" w:rsidRPr="000F3089" w:rsidRDefault="00715ED7" w:rsidP="00E509D9">
      <w:pPr>
        <w:tabs>
          <w:tab w:val="left" w:pos="2552"/>
        </w:tabs>
        <w:spacing w:before="240" w:after="240" w:line="300" w:lineRule="atLeast"/>
        <w:rPr>
          <w:szCs w:val="22"/>
        </w:rPr>
      </w:pPr>
      <w:r w:rsidRPr="000F3089">
        <w:rPr>
          <w:b/>
          <w:szCs w:val="22"/>
        </w:rPr>
        <w:t>Date to be reviewed:</w:t>
      </w:r>
      <w:r w:rsidRPr="000F3089">
        <w:rPr>
          <w:szCs w:val="22"/>
        </w:rPr>
        <w:tab/>
      </w:r>
      <w:r>
        <w:rPr>
          <w:szCs w:val="22"/>
        </w:rPr>
        <w:t>April 2025</w:t>
      </w:r>
    </w:p>
    <w:p w14:paraId="4E01D221" w14:textId="77777777" w:rsidR="00715ED7" w:rsidRPr="000F3089" w:rsidRDefault="00715ED7" w:rsidP="00715ED7">
      <w:pPr>
        <w:pBdr>
          <w:bottom w:val="single" w:sz="6" w:space="1" w:color="auto"/>
        </w:pBdr>
        <w:jc w:val="both"/>
        <w:rPr>
          <w:color w:val="333333"/>
          <w:sz w:val="16"/>
        </w:rPr>
      </w:pPr>
    </w:p>
    <w:p w14:paraId="36E717B4" w14:textId="77777777" w:rsidR="00715ED7" w:rsidRPr="000F3089" w:rsidRDefault="00715ED7" w:rsidP="00E509D9">
      <w:pPr>
        <w:tabs>
          <w:tab w:val="left" w:pos="2552"/>
        </w:tabs>
        <w:spacing w:before="240" w:after="240" w:line="300" w:lineRule="atLeast"/>
        <w:rPr>
          <w:szCs w:val="22"/>
        </w:rPr>
      </w:pPr>
      <w:r w:rsidRPr="000F3089">
        <w:rPr>
          <w:b/>
          <w:szCs w:val="22"/>
        </w:rPr>
        <w:t>Office:</w:t>
      </w:r>
      <w:r w:rsidRPr="000F3089">
        <w:rPr>
          <w:szCs w:val="22"/>
        </w:rPr>
        <w:tab/>
      </w:r>
      <w:r>
        <w:rPr>
          <w:szCs w:val="22"/>
        </w:rPr>
        <w:t>Office of the Deputy Director-General, Disability Services</w:t>
      </w:r>
    </w:p>
    <w:p w14:paraId="5A851474" w14:textId="77777777" w:rsidR="00715ED7" w:rsidRPr="000F3089" w:rsidRDefault="00715ED7" w:rsidP="00E509D9">
      <w:pPr>
        <w:tabs>
          <w:tab w:val="left" w:pos="2552"/>
        </w:tabs>
        <w:spacing w:before="240" w:after="240" w:line="300" w:lineRule="atLeast"/>
        <w:rPr>
          <w:szCs w:val="22"/>
        </w:rPr>
      </w:pPr>
      <w:r w:rsidRPr="000F3089">
        <w:rPr>
          <w:b/>
          <w:szCs w:val="22"/>
        </w:rPr>
        <w:t>Help Contact:</w:t>
      </w:r>
      <w:r w:rsidRPr="000F3089">
        <w:rPr>
          <w:szCs w:val="22"/>
        </w:rPr>
        <w:tab/>
      </w:r>
      <w:hyperlink r:id="rId19" w:history="1">
        <w:r w:rsidRPr="00C42C12">
          <w:rPr>
            <w:rStyle w:val="Hyperlink"/>
            <w:szCs w:val="22"/>
          </w:rPr>
          <w:t>ODDG_DSC@dcssds.qld.gov.au</w:t>
        </w:r>
      </w:hyperlink>
      <w:r>
        <w:rPr>
          <w:szCs w:val="22"/>
        </w:rPr>
        <w:t xml:space="preserve"> </w:t>
      </w:r>
    </w:p>
    <w:p w14:paraId="3E6E8B98" w14:textId="77777777" w:rsidR="00715ED7" w:rsidRDefault="00715ED7" w:rsidP="00715ED7">
      <w:pPr>
        <w:pBdr>
          <w:bottom w:val="single" w:sz="4" w:space="1" w:color="auto"/>
        </w:pBdr>
        <w:rPr>
          <w:sz w:val="12"/>
        </w:rPr>
      </w:pPr>
    </w:p>
    <w:p w14:paraId="31EE1DD0" w14:textId="77777777" w:rsidR="00715ED7" w:rsidRPr="000F3089" w:rsidRDefault="00715ED7" w:rsidP="00E509D9">
      <w:pPr>
        <w:spacing w:before="120" w:after="120"/>
        <w:rPr>
          <w:b/>
          <w:szCs w:val="22"/>
        </w:rPr>
      </w:pPr>
      <w:r w:rsidRPr="000F3089">
        <w:rPr>
          <w:b/>
          <w:szCs w:val="22"/>
        </w:rPr>
        <w:t>Links:</w:t>
      </w:r>
    </w:p>
    <w:p w14:paraId="1B7CAE39" w14:textId="4236EBE7" w:rsidR="00715ED7" w:rsidRPr="00715ED7" w:rsidRDefault="00702A27" w:rsidP="00E509D9">
      <w:pPr>
        <w:pStyle w:val="BodyText2"/>
        <w:spacing w:before="120" w:line="300" w:lineRule="atLeast"/>
        <w:rPr>
          <w:i/>
          <w:iCs/>
        </w:rPr>
      </w:pPr>
      <w:hyperlink r:id="rId20" w:history="1">
        <w:r w:rsidR="00715ED7" w:rsidRPr="00715ED7">
          <w:rPr>
            <w:rStyle w:val="Hyperlink"/>
            <w:i/>
            <w:iCs/>
          </w:rPr>
          <w:t>Community Services Act 2007</w:t>
        </w:r>
      </w:hyperlink>
    </w:p>
    <w:p w14:paraId="16FA7501" w14:textId="12E2A265" w:rsidR="00715ED7" w:rsidRDefault="00702A27" w:rsidP="00E509D9">
      <w:pPr>
        <w:pStyle w:val="BodyText2"/>
        <w:spacing w:before="120" w:line="300" w:lineRule="atLeast"/>
        <w:rPr>
          <w:rStyle w:val="Hyperlink"/>
          <w:i/>
          <w:iCs/>
        </w:rPr>
      </w:pPr>
      <w:hyperlink r:id="rId21" w:history="1">
        <w:r w:rsidR="00715ED7" w:rsidRPr="00715ED7">
          <w:rPr>
            <w:rStyle w:val="Hyperlink"/>
            <w:i/>
            <w:iCs/>
          </w:rPr>
          <w:t>Disability Services Act 2006</w:t>
        </w:r>
      </w:hyperlink>
    </w:p>
    <w:p w14:paraId="2C9777BB" w14:textId="278A5398" w:rsidR="00E509D9" w:rsidRPr="00715ED7" w:rsidRDefault="00702A27" w:rsidP="00E509D9">
      <w:pPr>
        <w:pStyle w:val="BodyText2"/>
        <w:spacing w:before="120" w:line="300" w:lineRule="atLeast"/>
        <w:rPr>
          <w:rStyle w:val="Hyperlink"/>
          <w:i/>
          <w:iCs/>
        </w:rPr>
      </w:pPr>
      <w:hyperlink r:id="rId22" w:history="1">
        <w:r w:rsidR="00E509D9" w:rsidRPr="00E509D9">
          <w:rPr>
            <w:rStyle w:val="Hyperlink"/>
            <w:i/>
            <w:iCs/>
          </w:rPr>
          <w:t>Forensic Disability Act 2011</w:t>
        </w:r>
      </w:hyperlink>
    </w:p>
    <w:p w14:paraId="76F26877" w14:textId="580E13F6" w:rsidR="00715ED7" w:rsidRDefault="00702A27" w:rsidP="00E509D9">
      <w:pPr>
        <w:pStyle w:val="BodyText2"/>
        <w:spacing w:before="120" w:line="300" w:lineRule="atLeast"/>
        <w:rPr>
          <w:rStyle w:val="Hyperlink"/>
          <w:i/>
          <w:iCs/>
        </w:rPr>
      </w:pPr>
      <w:hyperlink r:id="rId23" w:history="1">
        <w:r w:rsidR="00715ED7" w:rsidRPr="00715ED7">
          <w:rPr>
            <w:rStyle w:val="Hyperlink"/>
            <w:i/>
            <w:iCs/>
          </w:rPr>
          <w:t>Guide, Hearing and Assistance Dogs Act 2009</w:t>
        </w:r>
      </w:hyperlink>
    </w:p>
    <w:p w14:paraId="61B87D09" w14:textId="44C5B1CC" w:rsidR="00E509D9" w:rsidRPr="00715ED7" w:rsidRDefault="00702A27" w:rsidP="00E509D9">
      <w:pPr>
        <w:pStyle w:val="BodyText2"/>
        <w:spacing w:before="120" w:line="300" w:lineRule="atLeast"/>
        <w:rPr>
          <w:rStyle w:val="Hyperlink"/>
          <w:i/>
          <w:iCs/>
        </w:rPr>
      </w:pPr>
      <w:hyperlink r:id="rId24" w:history="1">
        <w:r w:rsidR="00E509D9" w:rsidRPr="00E509D9">
          <w:rPr>
            <w:rStyle w:val="Hyperlink"/>
            <w:rFonts w:cs="Arial"/>
            <w:szCs w:val="22"/>
          </w:rPr>
          <w:t>NDIS Quality and Safeguards Commission</w:t>
        </w:r>
      </w:hyperlink>
    </w:p>
    <w:p w14:paraId="164B2DD0" w14:textId="77777777" w:rsidR="00715ED7" w:rsidRPr="000F3089" w:rsidRDefault="00715ED7" w:rsidP="00715ED7">
      <w:pPr>
        <w:pBdr>
          <w:bottom w:val="single" w:sz="6" w:space="1" w:color="auto"/>
        </w:pBdr>
        <w:jc w:val="both"/>
        <w:rPr>
          <w:color w:val="333333"/>
          <w:sz w:val="16"/>
        </w:rPr>
      </w:pPr>
    </w:p>
    <w:p w14:paraId="1687C706" w14:textId="741C779C" w:rsidR="00772887" w:rsidRPr="00127C75" w:rsidRDefault="00715ED7" w:rsidP="00715ED7">
      <w:pPr>
        <w:pStyle w:val="Heading2"/>
      </w:pPr>
      <w:r>
        <w:lastRenderedPageBreak/>
        <w:t>Appendix 1 – Disability Services Compliance Functions</w:t>
      </w:r>
    </w:p>
    <w:p w14:paraId="2E896235" w14:textId="77777777" w:rsidR="00715ED7" w:rsidRPr="00056D29" w:rsidRDefault="00715ED7" w:rsidP="00715ED7">
      <w:pPr>
        <w:spacing w:after="0" w:line="240" w:lineRule="auto"/>
        <w:contextualSpacing/>
        <w:jc w:val="right"/>
        <w:rPr>
          <w:color w:val="000000"/>
          <w:szCs w:val="22"/>
        </w:rPr>
      </w:pPr>
    </w:p>
    <w:tbl>
      <w:tblPr>
        <w:tblStyle w:val="TableGrid1"/>
        <w:tblW w:w="10060" w:type="dxa"/>
        <w:tblInd w:w="5" w:type="dxa"/>
        <w:tblCellMar>
          <w:top w:w="57" w:type="dxa"/>
          <w:bottom w:w="57" w:type="dxa"/>
        </w:tblCellMar>
        <w:tblLook w:val="04A0" w:firstRow="1" w:lastRow="0" w:firstColumn="1" w:lastColumn="0" w:noHBand="0" w:noVBand="1"/>
      </w:tblPr>
      <w:tblGrid>
        <w:gridCol w:w="2405"/>
        <w:gridCol w:w="7655"/>
      </w:tblGrid>
      <w:tr w:rsidR="00715ED7" w:rsidRPr="00056D29" w14:paraId="1CAA7EE3" w14:textId="77777777" w:rsidTr="00715ED7">
        <w:trPr>
          <w:trHeight w:val="397"/>
        </w:trPr>
        <w:tc>
          <w:tcPr>
            <w:tcW w:w="10060" w:type="dxa"/>
            <w:gridSpan w:val="2"/>
            <w:tcBorders>
              <w:left w:val="nil"/>
              <w:right w:val="nil"/>
            </w:tcBorders>
            <w:shd w:val="clear" w:color="auto" w:fill="D9D9D9"/>
            <w:vAlign w:val="center"/>
          </w:tcPr>
          <w:p w14:paraId="67896311" w14:textId="1D565C27" w:rsidR="00715ED7" w:rsidRPr="00715ED7" w:rsidRDefault="00715ED7" w:rsidP="00732A52">
            <w:pPr>
              <w:spacing w:after="0" w:line="240" w:lineRule="auto"/>
              <w:contextualSpacing/>
              <w:rPr>
                <w:b/>
                <w:bCs/>
                <w:color w:val="000000"/>
                <w:sz w:val="20"/>
                <w:szCs w:val="20"/>
              </w:rPr>
            </w:pPr>
            <w:r w:rsidRPr="00715ED7">
              <w:rPr>
                <w:b/>
                <w:bCs/>
                <w:i/>
                <w:iCs/>
                <w:color w:val="000000"/>
                <w:sz w:val="20"/>
                <w:szCs w:val="20"/>
              </w:rPr>
              <w:t>Disability Services Act 2006</w:t>
            </w:r>
            <w:r w:rsidRPr="00715ED7">
              <w:rPr>
                <w:b/>
                <w:bCs/>
                <w:color w:val="000000"/>
                <w:sz w:val="20"/>
                <w:szCs w:val="20"/>
              </w:rPr>
              <w:t xml:space="preserve"> - Positive Behaviour Support &amp; Restricted Practices</w:t>
            </w:r>
          </w:p>
        </w:tc>
      </w:tr>
      <w:tr w:rsidR="00715ED7" w:rsidRPr="00056D29" w14:paraId="49531DC0" w14:textId="77777777" w:rsidTr="00715ED7">
        <w:trPr>
          <w:trHeight w:val="397"/>
        </w:trPr>
        <w:tc>
          <w:tcPr>
            <w:tcW w:w="10060" w:type="dxa"/>
            <w:gridSpan w:val="2"/>
            <w:tcBorders>
              <w:left w:val="nil"/>
              <w:right w:val="nil"/>
            </w:tcBorders>
            <w:shd w:val="clear" w:color="auto" w:fill="F2F2F2"/>
            <w:vAlign w:val="center"/>
          </w:tcPr>
          <w:p w14:paraId="53D279AB" w14:textId="77777777" w:rsidR="00715ED7" w:rsidRPr="00056D29" w:rsidRDefault="00715ED7" w:rsidP="00715ED7">
            <w:pPr>
              <w:spacing w:before="80" w:after="80" w:line="240" w:lineRule="auto"/>
              <w:jc w:val="both"/>
              <w:rPr>
                <w:color w:val="000000"/>
                <w:sz w:val="20"/>
                <w:szCs w:val="20"/>
              </w:rPr>
            </w:pPr>
            <w:r w:rsidRPr="00056D29">
              <w:rPr>
                <w:color w:val="000000"/>
                <w:sz w:val="20"/>
                <w:szCs w:val="20"/>
              </w:rPr>
              <w:t xml:space="preserve">Part 6 of the DSA relates to positive behaviour support and restrictive practice. Under sections 200D and 200E an Authorised Officer may investigate a breach of Part 6. However, compliance enforcement action cannot be taken unless the service provider is a Funded Entity. Concerns regarding a NDIS non-government service provider should be referred to the NDIS Q&amp;S Commission for it to take appropriate enforcement action. Where non-compliance relates to an individual Accommodation Support and Respite Services (AS&amp;RS) staff member, Responsibility for investigating allegations of non-compliance rests with the department’s Ethical Standards area.  </w:t>
            </w:r>
          </w:p>
          <w:p w14:paraId="2B35C855" w14:textId="77777777" w:rsidR="00715ED7" w:rsidRPr="00056D29" w:rsidRDefault="00715ED7" w:rsidP="00715ED7">
            <w:pPr>
              <w:spacing w:before="80" w:after="80" w:line="240" w:lineRule="auto"/>
              <w:jc w:val="both"/>
              <w:rPr>
                <w:color w:val="000000"/>
                <w:sz w:val="20"/>
                <w:szCs w:val="20"/>
              </w:rPr>
            </w:pPr>
            <w:r w:rsidRPr="00056D29">
              <w:rPr>
                <w:color w:val="000000"/>
                <w:sz w:val="20"/>
                <w:szCs w:val="20"/>
              </w:rPr>
              <w:t>Referrals to QPS should also be considered in all cases of alleged unauthorised restrictive practice.</w:t>
            </w:r>
          </w:p>
        </w:tc>
      </w:tr>
      <w:tr w:rsidR="00715ED7" w:rsidRPr="00056D29" w14:paraId="744B5BF9" w14:textId="77777777" w:rsidTr="00715ED7">
        <w:trPr>
          <w:trHeight w:val="856"/>
        </w:trPr>
        <w:tc>
          <w:tcPr>
            <w:tcW w:w="2405" w:type="dxa"/>
          </w:tcPr>
          <w:p w14:paraId="14A9236C" w14:textId="77777777" w:rsidR="00715ED7" w:rsidRPr="00056D29" w:rsidRDefault="00715ED7" w:rsidP="00715ED7">
            <w:pPr>
              <w:spacing w:before="80" w:after="80" w:line="240" w:lineRule="auto"/>
              <w:rPr>
                <w:color w:val="000000"/>
                <w:sz w:val="20"/>
                <w:szCs w:val="20"/>
              </w:rPr>
            </w:pPr>
            <w:r w:rsidRPr="00056D29">
              <w:rPr>
                <w:color w:val="000000"/>
                <w:sz w:val="20"/>
                <w:szCs w:val="20"/>
              </w:rPr>
              <w:t>Person harmed by authorised or unauthorised Restrictive Practices</w:t>
            </w:r>
          </w:p>
        </w:tc>
        <w:tc>
          <w:tcPr>
            <w:tcW w:w="7655" w:type="dxa"/>
          </w:tcPr>
          <w:p w14:paraId="37C0A374" w14:textId="77777777" w:rsidR="00715ED7" w:rsidRPr="00056D29" w:rsidRDefault="00715ED7" w:rsidP="00715ED7">
            <w:pPr>
              <w:spacing w:before="80" w:after="80" w:line="240" w:lineRule="auto"/>
              <w:rPr>
                <w:color w:val="000000"/>
                <w:sz w:val="20"/>
                <w:szCs w:val="20"/>
              </w:rPr>
            </w:pPr>
            <w:r w:rsidRPr="00056D29">
              <w:rPr>
                <w:color w:val="000000"/>
                <w:sz w:val="20"/>
                <w:szCs w:val="20"/>
              </w:rPr>
              <w:t>s 139 outlines the principles that service providers should take into account in providing services; and regulates the use of restrictive practice so that the client’s human rights are protected, they and others are safeguarded from harm, opportunity for positive outcomes are maximised, the use of restrictive practice is minimised and transparency and accountability in the use of restrictive practice is ensured.</w:t>
            </w:r>
          </w:p>
        </w:tc>
      </w:tr>
      <w:tr w:rsidR="00715ED7" w:rsidRPr="00056D29" w14:paraId="21DA4420" w14:textId="77777777" w:rsidTr="00715ED7">
        <w:trPr>
          <w:trHeight w:val="517"/>
        </w:trPr>
        <w:tc>
          <w:tcPr>
            <w:tcW w:w="2405" w:type="dxa"/>
          </w:tcPr>
          <w:p w14:paraId="0A146090" w14:textId="77777777" w:rsidR="00715ED7" w:rsidRPr="00056D29" w:rsidRDefault="00715ED7" w:rsidP="00715ED7">
            <w:pPr>
              <w:spacing w:before="80" w:after="80" w:line="240" w:lineRule="auto"/>
              <w:rPr>
                <w:color w:val="000000"/>
                <w:sz w:val="20"/>
                <w:szCs w:val="20"/>
              </w:rPr>
            </w:pPr>
            <w:r w:rsidRPr="00056D29">
              <w:rPr>
                <w:color w:val="000000"/>
                <w:sz w:val="20"/>
                <w:szCs w:val="20"/>
              </w:rPr>
              <w:t>Restricted Practices Approvals</w:t>
            </w:r>
          </w:p>
        </w:tc>
        <w:tc>
          <w:tcPr>
            <w:tcW w:w="7655" w:type="dxa"/>
          </w:tcPr>
          <w:p w14:paraId="4AC92697" w14:textId="77777777" w:rsidR="00715ED7" w:rsidRPr="00056D29" w:rsidRDefault="00715ED7" w:rsidP="00715ED7">
            <w:pPr>
              <w:spacing w:before="80" w:after="80" w:line="240" w:lineRule="auto"/>
              <w:rPr>
                <w:color w:val="000000"/>
                <w:sz w:val="20"/>
                <w:szCs w:val="20"/>
              </w:rPr>
            </w:pPr>
            <w:r w:rsidRPr="00056D29">
              <w:rPr>
                <w:color w:val="000000"/>
                <w:sz w:val="20"/>
                <w:szCs w:val="20"/>
              </w:rPr>
              <w:t>Part 6 Divisions 3, 4 and 5 detail the approvals and consultation required to implement restrictive practices.</w:t>
            </w:r>
          </w:p>
        </w:tc>
      </w:tr>
      <w:tr w:rsidR="00715ED7" w:rsidRPr="00056D29" w14:paraId="01C29AB6" w14:textId="77777777" w:rsidTr="00715ED7">
        <w:trPr>
          <w:trHeight w:val="547"/>
        </w:trPr>
        <w:tc>
          <w:tcPr>
            <w:tcW w:w="2405" w:type="dxa"/>
          </w:tcPr>
          <w:p w14:paraId="4D744E39" w14:textId="77777777" w:rsidR="00715ED7" w:rsidRPr="00056D29" w:rsidRDefault="00715ED7" w:rsidP="00715ED7">
            <w:pPr>
              <w:spacing w:before="80" w:after="80" w:line="240" w:lineRule="auto"/>
              <w:rPr>
                <w:color w:val="000000"/>
                <w:sz w:val="20"/>
                <w:szCs w:val="20"/>
              </w:rPr>
            </w:pPr>
            <w:r w:rsidRPr="00056D29">
              <w:rPr>
                <w:color w:val="000000"/>
                <w:sz w:val="20"/>
                <w:szCs w:val="20"/>
              </w:rPr>
              <w:t>Containment or Seclusion</w:t>
            </w:r>
          </w:p>
        </w:tc>
        <w:tc>
          <w:tcPr>
            <w:tcW w:w="7655" w:type="dxa"/>
          </w:tcPr>
          <w:p w14:paraId="01E9CF4E" w14:textId="77777777" w:rsidR="00715ED7" w:rsidRPr="00056D29" w:rsidRDefault="00715ED7" w:rsidP="00715ED7">
            <w:pPr>
              <w:spacing w:before="80" w:after="80" w:line="240" w:lineRule="auto"/>
              <w:rPr>
                <w:color w:val="000000"/>
                <w:sz w:val="20"/>
                <w:szCs w:val="20"/>
              </w:rPr>
            </w:pPr>
            <w:r w:rsidRPr="00056D29">
              <w:rPr>
                <w:color w:val="000000"/>
                <w:sz w:val="20"/>
                <w:szCs w:val="20"/>
              </w:rPr>
              <w:t>Part 6 Division 3 details the authorisation requirements for the use of containment or seclusion of an adult including approvals and assessments.</w:t>
            </w:r>
          </w:p>
        </w:tc>
      </w:tr>
      <w:tr w:rsidR="00715ED7" w:rsidRPr="00056D29" w14:paraId="212F4280" w14:textId="77777777" w:rsidTr="00715ED7">
        <w:trPr>
          <w:trHeight w:val="762"/>
        </w:trPr>
        <w:tc>
          <w:tcPr>
            <w:tcW w:w="2405" w:type="dxa"/>
          </w:tcPr>
          <w:p w14:paraId="21B5F484" w14:textId="77777777" w:rsidR="00715ED7" w:rsidRPr="00056D29" w:rsidRDefault="00715ED7" w:rsidP="00715ED7">
            <w:pPr>
              <w:spacing w:before="80" w:after="80" w:line="240" w:lineRule="auto"/>
              <w:rPr>
                <w:color w:val="000000"/>
                <w:sz w:val="20"/>
                <w:szCs w:val="20"/>
              </w:rPr>
            </w:pPr>
            <w:r w:rsidRPr="00056D29">
              <w:rPr>
                <w:color w:val="000000"/>
                <w:sz w:val="20"/>
                <w:szCs w:val="20"/>
              </w:rPr>
              <w:t>Chemical, Mechanical or Physical restraint or restricting access</w:t>
            </w:r>
          </w:p>
        </w:tc>
        <w:tc>
          <w:tcPr>
            <w:tcW w:w="7655" w:type="dxa"/>
          </w:tcPr>
          <w:p w14:paraId="5C721F7F" w14:textId="77777777" w:rsidR="00715ED7" w:rsidRPr="00056D29" w:rsidRDefault="00715ED7" w:rsidP="00715ED7">
            <w:pPr>
              <w:spacing w:before="80" w:after="80" w:line="240" w:lineRule="auto"/>
              <w:rPr>
                <w:color w:val="000000"/>
                <w:sz w:val="20"/>
                <w:szCs w:val="20"/>
              </w:rPr>
            </w:pPr>
            <w:r w:rsidRPr="00056D29">
              <w:rPr>
                <w:color w:val="000000"/>
                <w:sz w:val="20"/>
                <w:szCs w:val="20"/>
              </w:rPr>
              <w:t>Part 6 Division 4 details the authorisation requirements for the use of chemical, mechanical or physical restraint or restricting access including approvals and assessments.</w:t>
            </w:r>
          </w:p>
        </w:tc>
      </w:tr>
      <w:tr w:rsidR="00715ED7" w:rsidRPr="00056D29" w14:paraId="167DB460" w14:textId="77777777" w:rsidTr="00715ED7">
        <w:trPr>
          <w:trHeight w:val="733"/>
        </w:trPr>
        <w:tc>
          <w:tcPr>
            <w:tcW w:w="2405" w:type="dxa"/>
          </w:tcPr>
          <w:p w14:paraId="2D16E98A" w14:textId="77777777" w:rsidR="00715ED7" w:rsidRPr="00056D29" w:rsidRDefault="00715ED7" w:rsidP="00715ED7">
            <w:pPr>
              <w:spacing w:before="80" w:after="80" w:line="240" w:lineRule="auto"/>
              <w:rPr>
                <w:color w:val="000000"/>
                <w:sz w:val="20"/>
                <w:szCs w:val="20"/>
              </w:rPr>
            </w:pPr>
            <w:r w:rsidRPr="00056D29">
              <w:rPr>
                <w:color w:val="000000"/>
                <w:sz w:val="20"/>
                <w:szCs w:val="20"/>
              </w:rPr>
              <w:t>Restrictive practices in Respite Services</w:t>
            </w:r>
          </w:p>
        </w:tc>
        <w:tc>
          <w:tcPr>
            <w:tcW w:w="7655" w:type="dxa"/>
          </w:tcPr>
          <w:p w14:paraId="630A2015" w14:textId="77777777" w:rsidR="00715ED7" w:rsidRPr="00056D29" w:rsidRDefault="00715ED7" w:rsidP="00715ED7">
            <w:pPr>
              <w:spacing w:before="80" w:after="80" w:line="240" w:lineRule="auto"/>
              <w:rPr>
                <w:color w:val="000000"/>
                <w:sz w:val="20"/>
                <w:szCs w:val="20"/>
              </w:rPr>
            </w:pPr>
            <w:r w:rsidRPr="00056D29">
              <w:rPr>
                <w:color w:val="000000"/>
                <w:sz w:val="20"/>
                <w:szCs w:val="20"/>
              </w:rPr>
              <w:t>Part 6 Division 5 details requirements for the use of restrictive practices for respite or community access services.</w:t>
            </w:r>
          </w:p>
        </w:tc>
      </w:tr>
      <w:tr w:rsidR="00715ED7" w:rsidRPr="00056D29" w14:paraId="134A8185" w14:textId="77777777" w:rsidTr="00715ED7">
        <w:trPr>
          <w:trHeight w:val="730"/>
        </w:trPr>
        <w:tc>
          <w:tcPr>
            <w:tcW w:w="2405" w:type="dxa"/>
          </w:tcPr>
          <w:p w14:paraId="6F7D8C2E" w14:textId="77777777" w:rsidR="00715ED7" w:rsidRPr="00056D29" w:rsidRDefault="00715ED7" w:rsidP="00715ED7">
            <w:pPr>
              <w:spacing w:before="80" w:after="80" w:line="240" w:lineRule="auto"/>
              <w:rPr>
                <w:color w:val="000000"/>
                <w:sz w:val="20"/>
                <w:szCs w:val="20"/>
              </w:rPr>
            </w:pPr>
            <w:r w:rsidRPr="00056D29">
              <w:rPr>
                <w:color w:val="000000"/>
                <w:sz w:val="20"/>
                <w:szCs w:val="20"/>
              </w:rPr>
              <w:t>Information sharing, recording, reporting and confidentiality</w:t>
            </w:r>
          </w:p>
        </w:tc>
        <w:tc>
          <w:tcPr>
            <w:tcW w:w="7655" w:type="dxa"/>
          </w:tcPr>
          <w:p w14:paraId="3E77C197" w14:textId="77777777" w:rsidR="00715ED7" w:rsidRPr="00056D29" w:rsidRDefault="00715ED7" w:rsidP="00715ED7">
            <w:pPr>
              <w:spacing w:before="80" w:after="80" w:line="240" w:lineRule="auto"/>
              <w:rPr>
                <w:color w:val="000000"/>
                <w:sz w:val="20"/>
                <w:szCs w:val="20"/>
              </w:rPr>
            </w:pPr>
            <w:r w:rsidRPr="00056D29">
              <w:rPr>
                <w:color w:val="000000"/>
                <w:sz w:val="20"/>
                <w:szCs w:val="20"/>
              </w:rPr>
              <w:t>Part 6 Division 7 outlines requirements in terms of information sharing, maintenance of records, reporting and confidentiality.</w:t>
            </w:r>
          </w:p>
        </w:tc>
      </w:tr>
      <w:tr w:rsidR="00715ED7" w:rsidRPr="00056D29" w14:paraId="338BC727" w14:textId="77777777" w:rsidTr="00715ED7">
        <w:trPr>
          <w:trHeight w:val="397"/>
        </w:trPr>
        <w:tc>
          <w:tcPr>
            <w:tcW w:w="10060" w:type="dxa"/>
            <w:gridSpan w:val="2"/>
            <w:tcBorders>
              <w:left w:val="nil"/>
              <w:right w:val="nil"/>
            </w:tcBorders>
            <w:shd w:val="clear" w:color="auto" w:fill="D9D9D9"/>
            <w:vAlign w:val="center"/>
          </w:tcPr>
          <w:p w14:paraId="3A8C4DA7" w14:textId="77777777" w:rsidR="00715ED7" w:rsidRPr="00715ED7" w:rsidRDefault="00715ED7" w:rsidP="00732A52">
            <w:pPr>
              <w:spacing w:after="0" w:line="240" w:lineRule="auto"/>
              <w:contextualSpacing/>
              <w:rPr>
                <w:b/>
                <w:bCs/>
                <w:i/>
                <w:iCs/>
                <w:color w:val="000000"/>
                <w:sz w:val="20"/>
                <w:szCs w:val="20"/>
              </w:rPr>
            </w:pPr>
            <w:r w:rsidRPr="00715ED7">
              <w:rPr>
                <w:b/>
                <w:bCs/>
                <w:i/>
                <w:iCs/>
                <w:color w:val="000000"/>
                <w:sz w:val="20"/>
                <w:szCs w:val="20"/>
              </w:rPr>
              <w:t>Guide, Hearing and Assistance Dogs Act 2009</w:t>
            </w:r>
          </w:p>
        </w:tc>
      </w:tr>
      <w:tr w:rsidR="00715ED7" w:rsidRPr="00056D29" w14:paraId="56D1F6BB" w14:textId="77777777" w:rsidTr="00715ED7">
        <w:trPr>
          <w:trHeight w:val="397"/>
        </w:trPr>
        <w:tc>
          <w:tcPr>
            <w:tcW w:w="10060" w:type="dxa"/>
            <w:gridSpan w:val="2"/>
            <w:tcBorders>
              <w:left w:val="nil"/>
              <w:right w:val="nil"/>
            </w:tcBorders>
            <w:shd w:val="clear" w:color="auto" w:fill="F2F2F2"/>
            <w:vAlign w:val="center"/>
          </w:tcPr>
          <w:p w14:paraId="1463E196" w14:textId="77777777" w:rsidR="00715ED7" w:rsidRPr="00056D29" w:rsidRDefault="00715ED7" w:rsidP="0006766E">
            <w:pPr>
              <w:spacing w:before="80" w:after="80" w:line="240" w:lineRule="auto"/>
              <w:jc w:val="both"/>
              <w:rPr>
                <w:color w:val="000000"/>
                <w:sz w:val="20"/>
                <w:szCs w:val="20"/>
              </w:rPr>
            </w:pPr>
            <w:r w:rsidRPr="00056D29">
              <w:rPr>
                <w:color w:val="000000"/>
                <w:sz w:val="20"/>
                <w:szCs w:val="20"/>
              </w:rPr>
              <w:t xml:space="preserve">The compliance provisions under the </w:t>
            </w:r>
            <w:r w:rsidRPr="00056D29">
              <w:rPr>
                <w:i/>
                <w:iCs/>
                <w:color w:val="000000"/>
                <w:sz w:val="20"/>
                <w:szCs w:val="20"/>
              </w:rPr>
              <w:t>Guide Hearing and Assistance Dogs Act</w:t>
            </w:r>
            <w:r w:rsidRPr="00056D29">
              <w:rPr>
                <w:color w:val="000000"/>
                <w:sz w:val="20"/>
                <w:szCs w:val="20"/>
              </w:rPr>
              <w:t xml:space="preserve"> </w:t>
            </w:r>
            <w:r w:rsidRPr="00056D29">
              <w:rPr>
                <w:i/>
                <w:iCs/>
                <w:color w:val="000000"/>
                <w:sz w:val="20"/>
                <w:szCs w:val="20"/>
              </w:rPr>
              <w:t>2009</w:t>
            </w:r>
            <w:r w:rsidRPr="00056D29">
              <w:rPr>
                <w:color w:val="000000"/>
                <w:sz w:val="20"/>
                <w:szCs w:val="20"/>
              </w:rPr>
              <w:t xml:space="preserve"> extend to persons exercising control of places of accommodation, public places and public passenger vehicles, trainers and training institutions, identity cards for handlers, trainers and puppy carers, and the screening of approved employee trainers. </w:t>
            </w:r>
          </w:p>
        </w:tc>
      </w:tr>
      <w:tr w:rsidR="00715ED7" w:rsidRPr="00056D29" w14:paraId="580DC247" w14:textId="77777777" w:rsidTr="00715ED7">
        <w:trPr>
          <w:trHeight w:val="522"/>
        </w:trPr>
        <w:tc>
          <w:tcPr>
            <w:tcW w:w="2405" w:type="dxa"/>
          </w:tcPr>
          <w:p w14:paraId="4FF34976"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Rights of accompaniment</w:t>
            </w:r>
          </w:p>
        </w:tc>
        <w:tc>
          <w:tcPr>
            <w:tcW w:w="7655" w:type="dxa"/>
          </w:tcPr>
          <w:p w14:paraId="4356126D"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s 8 and s 9 states people with a disability, Trainers and Carers may be accompanied by guide, hearing, assistance and trainee support dogs</w:t>
            </w:r>
          </w:p>
        </w:tc>
      </w:tr>
      <w:tr w:rsidR="00715ED7" w:rsidRPr="00056D29" w14:paraId="63CE52B6" w14:textId="77777777" w:rsidTr="00715ED7">
        <w:trPr>
          <w:trHeight w:val="461"/>
        </w:trPr>
        <w:tc>
          <w:tcPr>
            <w:tcW w:w="2405" w:type="dxa"/>
          </w:tcPr>
          <w:p w14:paraId="22E3001A"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Persons exercising control</w:t>
            </w:r>
          </w:p>
        </w:tc>
        <w:tc>
          <w:tcPr>
            <w:tcW w:w="7655" w:type="dxa"/>
          </w:tcPr>
          <w:p w14:paraId="7987A4E8"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s 11 states people with a disability, Trainers and Carers must be provided access to accommodation, public places and public passenger vehicles in accordance with the rights of accompaniment</w:t>
            </w:r>
          </w:p>
        </w:tc>
      </w:tr>
      <w:tr w:rsidR="00715ED7" w:rsidRPr="00056D29" w14:paraId="1B228A58" w14:textId="77777777" w:rsidTr="00715ED7">
        <w:trPr>
          <w:trHeight w:val="217"/>
        </w:trPr>
        <w:tc>
          <w:tcPr>
            <w:tcW w:w="2405" w:type="dxa"/>
          </w:tcPr>
          <w:p w14:paraId="7D4808D3"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Approvals of trainers and training institutions</w:t>
            </w:r>
          </w:p>
        </w:tc>
        <w:tc>
          <w:tcPr>
            <w:tcW w:w="7655" w:type="dxa"/>
          </w:tcPr>
          <w:p w14:paraId="4F877865"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Trainers and training institutions are required to meet the obligations outlined in Part 3 to gain and maintain approval</w:t>
            </w:r>
          </w:p>
        </w:tc>
      </w:tr>
      <w:tr w:rsidR="00715ED7" w:rsidRPr="00056D29" w14:paraId="6D71C6AD" w14:textId="77777777" w:rsidTr="00715ED7">
        <w:trPr>
          <w:trHeight w:val="480"/>
        </w:trPr>
        <w:tc>
          <w:tcPr>
            <w:tcW w:w="2405" w:type="dxa"/>
          </w:tcPr>
          <w:p w14:paraId="172208AB"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Identity cards for handlers, trainers and carers</w:t>
            </w:r>
          </w:p>
        </w:tc>
        <w:tc>
          <w:tcPr>
            <w:tcW w:w="7655" w:type="dxa"/>
          </w:tcPr>
          <w:p w14:paraId="0FB35287"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Part 5 details the eligibility, application and requirements of handlers, trainers and carers related to identity cards</w:t>
            </w:r>
          </w:p>
        </w:tc>
      </w:tr>
      <w:tr w:rsidR="00715ED7" w:rsidRPr="00056D29" w14:paraId="1286D465" w14:textId="77777777" w:rsidTr="00715ED7">
        <w:trPr>
          <w:trHeight w:val="521"/>
        </w:trPr>
        <w:tc>
          <w:tcPr>
            <w:tcW w:w="2405" w:type="dxa"/>
          </w:tcPr>
          <w:p w14:paraId="40DFDF8C"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Screening trainers</w:t>
            </w:r>
          </w:p>
        </w:tc>
        <w:tc>
          <w:tcPr>
            <w:tcW w:w="7655" w:type="dxa"/>
          </w:tcPr>
          <w:p w14:paraId="678FCBB5" w14:textId="77777777" w:rsidR="00715ED7" w:rsidRPr="00056D29" w:rsidRDefault="00715ED7" w:rsidP="00732A52">
            <w:pPr>
              <w:spacing w:after="0" w:line="240" w:lineRule="auto"/>
              <w:contextualSpacing/>
              <w:rPr>
                <w:color w:val="000000"/>
                <w:sz w:val="20"/>
                <w:szCs w:val="20"/>
              </w:rPr>
            </w:pPr>
            <w:r w:rsidRPr="00056D29">
              <w:rPr>
                <w:color w:val="000000"/>
                <w:sz w:val="20"/>
                <w:szCs w:val="20"/>
              </w:rPr>
              <w:t>Under s 58</w:t>
            </w:r>
            <w:r w:rsidRPr="00056D29">
              <w:rPr>
                <w:i/>
                <w:color w:val="000000"/>
                <w:sz w:val="20"/>
                <w:szCs w:val="20"/>
              </w:rPr>
              <w:t xml:space="preserve">, </w:t>
            </w:r>
            <w:r w:rsidRPr="00056D29">
              <w:rPr>
                <w:color w:val="000000"/>
                <w:sz w:val="20"/>
                <w:szCs w:val="20"/>
              </w:rPr>
              <w:t>the Chief Executive has powers to obtain information relating to the screening of employee trainers, and requirements of employee trainers</w:t>
            </w:r>
          </w:p>
        </w:tc>
      </w:tr>
      <w:tr w:rsidR="00715ED7" w:rsidRPr="00056D29" w14:paraId="595729A7" w14:textId="77777777" w:rsidTr="00715ED7">
        <w:trPr>
          <w:trHeight w:val="397"/>
        </w:trPr>
        <w:tc>
          <w:tcPr>
            <w:tcW w:w="10060" w:type="dxa"/>
            <w:gridSpan w:val="2"/>
            <w:tcBorders>
              <w:left w:val="nil"/>
              <w:right w:val="nil"/>
            </w:tcBorders>
            <w:shd w:val="clear" w:color="auto" w:fill="D9D9D9"/>
            <w:vAlign w:val="center"/>
          </w:tcPr>
          <w:p w14:paraId="598EE0E9" w14:textId="77777777" w:rsidR="00715ED7" w:rsidRPr="00715ED7" w:rsidRDefault="00715ED7" w:rsidP="00715ED7">
            <w:pPr>
              <w:spacing w:after="0" w:line="240" w:lineRule="auto"/>
              <w:contextualSpacing/>
              <w:rPr>
                <w:b/>
                <w:bCs/>
                <w:i/>
                <w:iCs/>
                <w:color w:val="000000"/>
                <w:sz w:val="20"/>
                <w:szCs w:val="20"/>
              </w:rPr>
            </w:pPr>
            <w:r w:rsidRPr="00715ED7">
              <w:rPr>
                <w:b/>
                <w:bCs/>
                <w:i/>
                <w:iCs/>
                <w:color w:val="000000"/>
                <w:sz w:val="20"/>
                <w:szCs w:val="20"/>
              </w:rPr>
              <w:lastRenderedPageBreak/>
              <w:t>Community Services Act 2007</w:t>
            </w:r>
          </w:p>
        </w:tc>
      </w:tr>
      <w:tr w:rsidR="00715ED7" w:rsidRPr="00056D29" w14:paraId="2EAE48B1" w14:textId="77777777" w:rsidTr="00715ED7">
        <w:trPr>
          <w:trHeight w:val="397"/>
        </w:trPr>
        <w:tc>
          <w:tcPr>
            <w:tcW w:w="10060" w:type="dxa"/>
            <w:gridSpan w:val="2"/>
            <w:tcBorders>
              <w:left w:val="nil"/>
              <w:right w:val="nil"/>
            </w:tcBorders>
            <w:shd w:val="clear" w:color="auto" w:fill="F2F2F2"/>
          </w:tcPr>
          <w:p w14:paraId="7FE5D1CB" w14:textId="77777777" w:rsidR="00715ED7" w:rsidRPr="00056D29" w:rsidRDefault="00715ED7" w:rsidP="00715ED7">
            <w:pPr>
              <w:spacing w:before="80" w:after="80" w:line="240" w:lineRule="auto"/>
              <w:rPr>
                <w:color w:val="000000"/>
                <w:sz w:val="20"/>
                <w:szCs w:val="20"/>
              </w:rPr>
            </w:pPr>
            <w:r w:rsidRPr="00056D29">
              <w:rPr>
                <w:color w:val="000000"/>
                <w:sz w:val="20"/>
                <w:szCs w:val="20"/>
              </w:rPr>
              <w:t xml:space="preserve">The compliance provisions under the </w:t>
            </w:r>
            <w:r w:rsidRPr="00056D29">
              <w:rPr>
                <w:i/>
                <w:iCs/>
                <w:color w:val="000000"/>
                <w:sz w:val="20"/>
                <w:szCs w:val="20"/>
              </w:rPr>
              <w:t>Community Services Act 2007</w:t>
            </w:r>
            <w:r w:rsidRPr="00056D29">
              <w:rPr>
                <w:color w:val="000000"/>
                <w:sz w:val="20"/>
                <w:szCs w:val="20"/>
              </w:rPr>
              <w:t xml:space="preserve"> can only apply if the department has a funding agreement with the service provider for funding which is the subject of a funding declaration under the </w:t>
            </w:r>
            <w:r w:rsidRPr="00056D29">
              <w:rPr>
                <w:i/>
                <w:iCs/>
                <w:color w:val="000000"/>
                <w:sz w:val="20"/>
                <w:szCs w:val="20"/>
              </w:rPr>
              <w:t>Community Services Act 2007</w:t>
            </w:r>
            <w:r w:rsidRPr="00056D29">
              <w:rPr>
                <w:color w:val="000000"/>
                <w:sz w:val="20"/>
                <w:szCs w:val="20"/>
              </w:rPr>
              <w:t>.</w:t>
            </w:r>
          </w:p>
        </w:tc>
      </w:tr>
      <w:tr w:rsidR="00715ED7" w:rsidRPr="00056D29" w14:paraId="43521113" w14:textId="77777777" w:rsidTr="00715ED7">
        <w:tc>
          <w:tcPr>
            <w:tcW w:w="2405" w:type="dxa"/>
          </w:tcPr>
          <w:p w14:paraId="6F277029" w14:textId="77777777" w:rsidR="00715ED7" w:rsidRPr="00056D29" w:rsidRDefault="00715ED7" w:rsidP="00715ED7">
            <w:pPr>
              <w:spacing w:before="80" w:after="80" w:line="240" w:lineRule="auto"/>
              <w:rPr>
                <w:color w:val="000000"/>
                <w:sz w:val="20"/>
                <w:szCs w:val="20"/>
              </w:rPr>
            </w:pPr>
            <w:r w:rsidRPr="00056D29">
              <w:rPr>
                <w:color w:val="000000"/>
                <w:sz w:val="20"/>
                <w:szCs w:val="20"/>
              </w:rPr>
              <w:t>Serious Concern</w:t>
            </w:r>
          </w:p>
        </w:tc>
        <w:tc>
          <w:tcPr>
            <w:tcW w:w="7655" w:type="dxa"/>
          </w:tcPr>
          <w:p w14:paraId="5706C822" w14:textId="57A5CE6C" w:rsidR="00715ED7" w:rsidRPr="00056D29" w:rsidRDefault="00715ED7" w:rsidP="00715ED7">
            <w:pPr>
              <w:spacing w:before="80" w:after="80" w:line="240" w:lineRule="auto"/>
              <w:jc w:val="both"/>
              <w:rPr>
                <w:color w:val="000000"/>
                <w:sz w:val="20"/>
                <w:szCs w:val="20"/>
              </w:rPr>
            </w:pPr>
            <w:r w:rsidRPr="00056D29">
              <w:rPr>
                <w:color w:val="000000"/>
                <w:sz w:val="20"/>
                <w:szCs w:val="20"/>
              </w:rPr>
              <w:t>s</w:t>
            </w:r>
            <w:r w:rsidR="00363318">
              <w:rPr>
                <w:color w:val="000000"/>
                <w:sz w:val="20"/>
                <w:szCs w:val="20"/>
              </w:rPr>
              <w:t>.</w:t>
            </w:r>
            <w:r w:rsidRPr="00056D29">
              <w:rPr>
                <w:color w:val="000000"/>
                <w:sz w:val="20"/>
                <w:szCs w:val="20"/>
              </w:rPr>
              <w:t xml:space="preserve"> 16 defines serious concerns as:</w:t>
            </w:r>
          </w:p>
          <w:p w14:paraId="3A38A847" w14:textId="77777777" w:rsidR="00715ED7" w:rsidRPr="00056D29" w:rsidRDefault="00715ED7" w:rsidP="00715ED7">
            <w:pPr>
              <w:numPr>
                <w:ilvl w:val="0"/>
                <w:numId w:val="22"/>
              </w:numPr>
              <w:spacing w:before="80" w:after="80" w:line="240" w:lineRule="auto"/>
              <w:jc w:val="both"/>
              <w:rPr>
                <w:rFonts w:eastAsia="Cambria"/>
                <w:sz w:val="20"/>
                <w:szCs w:val="20"/>
              </w:rPr>
            </w:pPr>
            <w:r w:rsidRPr="00056D29">
              <w:rPr>
                <w:rFonts w:eastAsia="Cambria"/>
                <w:sz w:val="20"/>
                <w:szCs w:val="20"/>
              </w:rPr>
              <w:t>The funding received by the funded entity is improperly used</w:t>
            </w:r>
          </w:p>
          <w:p w14:paraId="2A9C8329" w14:textId="77777777" w:rsidR="00715ED7" w:rsidRPr="00056D29" w:rsidRDefault="00715ED7" w:rsidP="00715ED7">
            <w:pPr>
              <w:numPr>
                <w:ilvl w:val="0"/>
                <w:numId w:val="22"/>
              </w:numPr>
              <w:spacing w:before="80" w:after="80" w:line="240" w:lineRule="auto"/>
              <w:jc w:val="both"/>
              <w:rPr>
                <w:rFonts w:eastAsia="Cambria"/>
                <w:sz w:val="20"/>
                <w:szCs w:val="20"/>
              </w:rPr>
            </w:pPr>
            <w:r w:rsidRPr="00056D29">
              <w:rPr>
                <w:rFonts w:eastAsia="Cambria"/>
                <w:sz w:val="20"/>
                <w:szCs w:val="20"/>
              </w:rPr>
              <w:t>The funded entity significantly fails to deliver a funded product or service</w:t>
            </w:r>
          </w:p>
          <w:p w14:paraId="51608DCA" w14:textId="77777777" w:rsidR="00715ED7" w:rsidRPr="00056D29" w:rsidRDefault="00715ED7" w:rsidP="00715ED7">
            <w:pPr>
              <w:numPr>
                <w:ilvl w:val="0"/>
                <w:numId w:val="22"/>
              </w:numPr>
              <w:spacing w:before="80" w:after="80" w:line="240" w:lineRule="auto"/>
              <w:jc w:val="both"/>
              <w:rPr>
                <w:rFonts w:eastAsia="Cambria"/>
                <w:sz w:val="20"/>
                <w:szCs w:val="20"/>
              </w:rPr>
            </w:pPr>
            <w:r w:rsidRPr="00056D29">
              <w:rPr>
                <w:rFonts w:eastAsia="Cambria"/>
                <w:sz w:val="20"/>
                <w:szCs w:val="20"/>
              </w:rPr>
              <w:t>An act done or omission made by the funded entity in providing a funded product or service results in harm to an individual</w:t>
            </w:r>
          </w:p>
          <w:p w14:paraId="002C6CAE" w14:textId="77777777" w:rsidR="00715ED7" w:rsidRPr="00056D29" w:rsidRDefault="00715ED7" w:rsidP="00715ED7">
            <w:pPr>
              <w:numPr>
                <w:ilvl w:val="0"/>
                <w:numId w:val="22"/>
              </w:numPr>
              <w:spacing w:before="80" w:after="80" w:line="240" w:lineRule="auto"/>
              <w:jc w:val="both"/>
              <w:rPr>
                <w:rFonts w:eastAsia="Cambria"/>
                <w:sz w:val="20"/>
                <w:szCs w:val="20"/>
              </w:rPr>
            </w:pPr>
            <w:r w:rsidRPr="00056D29">
              <w:rPr>
                <w:rFonts w:eastAsia="Cambria"/>
                <w:sz w:val="20"/>
                <w:szCs w:val="20"/>
              </w:rPr>
              <w:t xml:space="preserve">If the funded entity received funding to deliver disability services to which the </w:t>
            </w:r>
            <w:r w:rsidRPr="00056D29">
              <w:rPr>
                <w:rFonts w:eastAsia="Cambria"/>
                <w:i/>
                <w:sz w:val="20"/>
                <w:szCs w:val="20"/>
              </w:rPr>
              <w:t>Disability Services Act 2006</w:t>
            </w:r>
            <w:r w:rsidRPr="00056D29">
              <w:rPr>
                <w:rFonts w:eastAsia="Cambria"/>
                <w:sz w:val="20"/>
                <w:szCs w:val="20"/>
              </w:rPr>
              <w:t xml:space="preserve"> applies – the funded entity contravenes a provision of the </w:t>
            </w:r>
            <w:r w:rsidRPr="00056D29">
              <w:rPr>
                <w:rFonts w:eastAsia="Cambria"/>
                <w:i/>
                <w:sz w:val="20"/>
                <w:szCs w:val="20"/>
              </w:rPr>
              <w:t>Disability Services Act 2006</w:t>
            </w:r>
          </w:p>
        </w:tc>
      </w:tr>
    </w:tbl>
    <w:p w14:paraId="3E65D2C8" w14:textId="77777777" w:rsidR="00715ED7" w:rsidRPr="00056D29" w:rsidRDefault="00715ED7" w:rsidP="00715ED7">
      <w:pPr>
        <w:spacing w:after="0" w:line="240" w:lineRule="auto"/>
        <w:contextualSpacing/>
        <w:jc w:val="both"/>
        <w:rPr>
          <w:rFonts w:eastAsia="MS Mincho" w:cs="Times New Roman"/>
          <w:i/>
          <w:iCs/>
          <w:color w:val="000000"/>
          <w:sz w:val="14"/>
          <w:szCs w:val="14"/>
        </w:rPr>
      </w:pPr>
    </w:p>
    <w:p w14:paraId="6B500BC1" w14:textId="6202C678" w:rsidR="00A45908" w:rsidRPr="00787127" w:rsidRDefault="00A45908" w:rsidP="00A45908">
      <w:pPr>
        <w:pStyle w:val="BodyText"/>
        <w:spacing w:before="120" w:after="120" w:line="300" w:lineRule="atLeast"/>
      </w:pPr>
    </w:p>
    <w:sectPr w:rsidR="00A45908" w:rsidRPr="00787127" w:rsidSect="004166E9">
      <w:headerReference w:type="default" r:id="rId25"/>
      <w:footerReference w:type="even" r:id="rId26"/>
      <w:footerReference w:type="default" r:id="rId27"/>
      <w:headerReference w:type="first" r:id="rId28"/>
      <w:pgSz w:w="11900" w:h="16840"/>
      <w:pgMar w:top="1418" w:right="1021" w:bottom="851" w:left="1021" w:header="49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7834" w14:textId="77777777" w:rsidR="00083B67" w:rsidRDefault="00083B67" w:rsidP="005F0FB2">
      <w:pPr>
        <w:spacing w:after="0" w:line="240" w:lineRule="auto"/>
      </w:pPr>
      <w:r>
        <w:separator/>
      </w:r>
    </w:p>
  </w:endnote>
  <w:endnote w:type="continuationSeparator" w:id="0">
    <w:p w14:paraId="6CCF805F" w14:textId="77777777" w:rsidR="00083B67" w:rsidRDefault="00083B67"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F4E">
      <w:rPr>
        <w:rStyle w:val="PageNumber"/>
        <w:noProof/>
      </w:rPr>
      <w:t>2</w:t>
    </w:r>
    <w:r>
      <w:rPr>
        <w:rStyle w:val="PageNumber"/>
      </w:rPr>
      <w:fldChar w:fldCharType="end"/>
    </w:r>
  </w:p>
  <w:p w14:paraId="71A2E3B7" w14:textId="77777777" w:rsidR="005C092E" w:rsidRDefault="005C092E" w:rsidP="0041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1EFF" w14:textId="77777777" w:rsidR="00083B67" w:rsidRDefault="00083B67" w:rsidP="005F0FB2">
      <w:pPr>
        <w:spacing w:after="0" w:line="240" w:lineRule="auto"/>
      </w:pPr>
      <w:r>
        <w:separator/>
      </w:r>
    </w:p>
  </w:footnote>
  <w:footnote w:type="continuationSeparator" w:id="0">
    <w:p w14:paraId="79FC21D6" w14:textId="77777777" w:rsidR="00083B67" w:rsidRDefault="00083B67" w:rsidP="005F0FB2">
      <w:pPr>
        <w:spacing w:after="0" w:line="240" w:lineRule="auto"/>
      </w:pPr>
      <w:r>
        <w:continuationSeparator/>
      </w:r>
    </w:p>
  </w:footnote>
  <w:footnote w:id="1">
    <w:p w14:paraId="65399BFB" w14:textId="39BBBC18" w:rsidR="00127C75" w:rsidRPr="0043753A" w:rsidRDefault="00127C75" w:rsidP="00127C75">
      <w:pPr>
        <w:pStyle w:val="FootnoteText"/>
        <w:jc w:val="both"/>
        <w:rPr>
          <w:sz w:val="16"/>
          <w:szCs w:val="16"/>
        </w:rPr>
      </w:pPr>
      <w:r w:rsidRPr="0043753A">
        <w:rPr>
          <w:rStyle w:val="FootnoteReference"/>
          <w:sz w:val="16"/>
          <w:szCs w:val="16"/>
        </w:rPr>
        <w:footnoteRef/>
      </w:r>
      <w:r w:rsidRPr="0043753A">
        <w:rPr>
          <w:sz w:val="16"/>
          <w:szCs w:val="16"/>
        </w:rPr>
        <w:t xml:space="preserve"> Where appropriate, referrals to be made to the NDIS Q</w:t>
      </w:r>
      <w:r w:rsidR="002C7B4A">
        <w:rPr>
          <w:sz w:val="16"/>
          <w:szCs w:val="16"/>
        </w:rPr>
        <w:t>uality and Safeguard</w:t>
      </w:r>
      <w:r w:rsidRPr="0043753A">
        <w:rPr>
          <w:sz w:val="16"/>
          <w:szCs w:val="16"/>
        </w:rPr>
        <w:t xml:space="preserve"> Commission and/or QPS etc.</w:t>
      </w:r>
    </w:p>
  </w:footnote>
  <w:footnote w:id="2">
    <w:p w14:paraId="6E21CEF0" w14:textId="0F9F8F23" w:rsidR="00127C75" w:rsidRPr="0043753A" w:rsidRDefault="00127C75" w:rsidP="00127C75">
      <w:pPr>
        <w:pStyle w:val="FootnoteText"/>
        <w:jc w:val="both"/>
        <w:rPr>
          <w:sz w:val="16"/>
          <w:szCs w:val="16"/>
        </w:rPr>
      </w:pPr>
      <w:r w:rsidRPr="0043753A">
        <w:rPr>
          <w:rStyle w:val="FootnoteReference"/>
          <w:sz w:val="16"/>
          <w:szCs w:val="16"/>
        </w:rPr>
        <w:footnoteRef/>
      </w:r>
      <w:r w:rsidRPr="0043753A">
        <w:rPr>
          <w:sz w:val="16"/>
          <w:szCs w:val="16"/>
        </w:rPr>
        <w:t xml:space="preserve"> In accordance with Clause 1</w:t>
      </w:r>
      <w:r>
        <w:rPr>
          <w:sz w:val="16"/>
          <w:szCs w:val="16"/>
        </w:rPr>
        <w:t>3</w:t>
      </w:r>
      <w:r w:rsidRPr="0043753A">
        <w:rPr>
          <w:sz w:val="16"/>
          <w:szCs w:val="16"/>
        </w:rPr>
        <w:t xml:space="preserve"> of </w:t>
      </w:r>
      <w:r>
        <w:rPr>
          <w:sz w:val="16"/>
          <w:szCs w:val="16"/>
        </w:rPr>
        <w:t>Service Agreement – Standard Terms</w:t>
      </w:r>
    </w:p>
  </w:footnote>
  <w:footnote w:id="3">
    <w:p w14:paraId="220CB677" w14:textId="77777777" w:rsidR="00127C75" w:rsidRPr="0043753A" w:rsidRDefault="00127C75" w:rsidP="00127C75">
      <w:pPr>
        <w:pStyle w:val="FootnoteText"/>
        <w:jc w:val="both"/>
        <w:rPr>
          <w:sz w:val="16"/>
          <w:szCs w:val="16"/>
        </w:rPr>
      </w:pPr>
      <w:r w:rsidRPr="0043753A">
        <w:rPr>
          <w:rStyle w:val="FootnoteReference"/>
          <w:sz w:val="16"/>
          <w:szCs w:val="16"/>
        </w:rPr>
        <w:footnoteRef/>
      </w:r>
      <w:r w:rsidRPr="0043753A">
        <w:rPr>
          <w:sz w:val="16"/>
          <w:szCs w:val="16"/>
        </w:rPr>
        <w:t xml:space="preserve"> Under s 206 of the DSA, an offence against this Act is an indictable offence if the maximum penalty for the offence is 500 penalty units or more of 5 years imprisonment or more. Otherwise, an offence against this Act is a summary offence For the CSA and GHAD</w:t>
      </w:r>
      <w:r>
        <w:rPr>
          <w:sz w:val="16"/>
          <w:szCs w:val="16"/>
        </w:rPr>
        <w:t xml:space="preserve"> Act,</w:t>
      </w:r>
      <w:r w:rsidRPr="0043753A">
        <w:rPr>
          <w:sz w:val="16"/>
          <w:szCs w:val="16"/>
        </w:rPr>
        <w:t xml:space="preserve"> an offence against the Act is a summary offence.</w:t>
      </w:r>
    </w:p>
  </w:footnote>
  <w:footnote w:id="4">
    <w:p w14:paraId="5CC0AEA6" w14:textId="77777777" w:rsidR="00127C75" w:rsidRPr="0043753A" w:rsidRDefault="00127C75" w:rsidP="00127C75">
      <w:pPr>
        <w:pStyle w:val="FootnoteText"/>
        <w:jc w:val="both"/>
      </w:pPr>
      <w:r w:rsidRPr="0043753A">
        <w:rPr>
          <w:rStyle w:val="FootnoteReference"/>
          <w:sz w:val="16"/>
          <w:szCs w:val="16"/>
        </w:rPr>
        <w:footnoteRef/>
      </w:r>
      <w:r w:rsidRPr="0043753A">
        <w:rPr>
          <w:sz w:val="16"/>
          <w:szCs w:val="16"/>
        </w:rPr>
        <w:t xml:space="preserve"> In accordance with section 15 of the CSA, before the Chief Executive or an Authorised Officer exercises a power under the CSA, the Chief Executive or Authorised Officer must consider whether it would be more appropriate to seek the cooperation of the service provider or to use a remedy under a funding agreement instead of exercising the power.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024828B0" w:rsidR="005C092E" w:rsidRDefault="00365EA1" w:rsidP="00365EA1">
    <w:pPr>
      <w:pStyle w:val="Header"/>
      <w:rPr>
        <w:color w:val="FFFFFF" w:themeColor="background1"/>
      </w:rPr>
    </w:pPr>
    <w:r>
      <w:rPr>
        <w:noProof/>
        <w:color w:val="FFFFFF" w:themeColor="background1"/>
      </w:rPr>
      <w:drawing>
        <wp:anchor distT="0" distB="0" distL="114300" distR="114300" simplePos="0" relativeHeight="251663360" behindDoc="1" locked="1" layoutInCell="1" allowOverlap="1" wp14:anchorId="25083B05" wp14:editId="3F0E21B3">
          <wp:simplePos x="0" y="0"/>
          <wp:positionH relativeFrom="page">
            <wp:align>right</wp:align>
          </wp:positionH>
          <wp:positionV relativeFrom="page">
            <wp:posOffset>20320</wp:posOffset>
          </wp:positionV>
          <wp:extent cx="7559675" cy="935990"/>
          <wp:effectExtent l="0" t="0" r="3175" b="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4166E9">
      <w:rPr>
        <w:color w:val="FFFFFF" w:themeColor="background1"/>
      </w:rPr>
      <w:t>Legislative Compliance Strategy</w:t>
    </w:r>
    <w:r w:rsidR="00E509D9">
      <w:rPr>
        <w:color w:val="FFFFFF" w:themeColor="background1"/>
      </w:rPr>
      <w:t xml:space="preserve"> – Disability Services</w:t>
    </w:r>
  </w:p>
  <w:p w14:paraId="0294BE50"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0557BA13" w:rsidR="005F0FB2" w:rsidRDefault="00365EA1">
    <w:pPr>
      <w:pStyle w:val="Header"/>
    </w:pPr>
    <w:r>
      <w:rPr>
        <w:noProof/>
      </w:rPr>
      <w:drawing>
        <wp:anchor distT="0" distB="0" distL="114300" distR="114300" simplePos="0" relativeHeight="251662336" behindDoc="1" locked="1" layoutInCell="1" allowOverlap="1" wp14:anchorId="118A30AA" wp14:editId="0F08BD3E">
          <wp:simplePos x="0" y="0"/>
          <wp:positionH relativeFrom="page">
            <wp:align>right</wp:align>
          </wp:positionH>
          <wp:positionV relativeFrom="page">
            <wp:align>bottom</wp:align>
          </wp:positionV>
          <wp:extent cx="7559675" cy="10691495"/>
          <wp:effectExtent l="0" t="0" r="3175" b="0"/>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C24F5B"/>
    <w:multiLevelType w:val="hybridMultilevel"/>
    <w:tmpl w:val="ED1E27D8"/>
    <w:lvl w:ilvl="0" w:tplc="73947E58">
      <w:start w:val="1"/>
      <w:numFmt w:val="bullet"/>
      <w:lvlText w:val=""/>
      <w:lvlJc w:val="left"/>
      <w:pPr>
        <w:ind w:left="360" w:hanging="360"/>
      </w:pPr>
      <w:rPr>
        <w:rFonts w:ascii="Symbol" w:hAnsi="Symbol" w:hint="default"/>
      </w:rPr>
    </w:lvl>
    <w:lvl w:ilvl="1" w:tplc="6AC43940">
      <w:start w:val="1"/>
      <w:numFmt w:val="bullet"/>
      <w:lvlText w:val="o"/>
      <w:lvlJc w:val="left"/>
      <w:pPr>
        <w:ind w:left="1080" w:hanging="360"/>
      </w:pPr>
      <w:rPr>
        <w:rFonts w:ascii="Courier New" w:hAnsi="Courier New" w:cs="Courier New" w:hint="default"/>
      </w:rPr>
    </w:lvl>
    <w:lvl w:ilvl="2" w:tplc="C4766002" w:tentative="1">
      <w:start w:val="1"/>
      <w:numFmt w:val="bullet"/>
      <w:lvlText w:val=""/>
      <w:lvlJc w:val="left"/>
      <w:pPr>
        <w:ind w:left="1800" w:hanging="360"/>
      </w:pPr>
      <w:rPr>
        <w:rFonts w:ascii="Wingdings" w:hAnsi="Wingdings" w:hint="default"/>
      </w:rPr>
    </w:lvl>
    <w:lvl w:ilvl="3" w:tplc="8A847F88" w:tentative="1">
      <w:start w:val="1"/>
      <w:numFmt w:val="bullet"/>
      <w:lvlText w:val=""/>
      <w:lvlJc w:val="left"/>
      <w:pPr>
        <w:ind w:left="2520" w:hanging="360"/>
      </w:pPr>
      <w:rPr>
        <w:rFonts w:ascii="Symbol" w:hAnsi="Symbol" w:hint="default"/>
      </w:rPr>
    </w:lvl>
    <w:lvl w:ilvl="4" w:tplc="09D201F6" w:tentative="1">
      <w:start w:val="1"/>
      <w:numFmt w:val="bullet"/>
      <w:lvlText w:val="o"/>
      <w:lvlJc w:val="left"/>
      <w:pPr>
        <w:ind w:left="3240" w:hanging="360"/>
      </w:pPr>
      <w:rPr>
        <w:rFonts w:ascii="Courier New" w:hAnsi="Courier New" w:cs="Courier New" w:hint="default"/>
      </w:rPr>
    </w:lvl>
    <w:lvl w:ilvl="5" w:tplc="8BBEA294" w:tentative="1">
      <w:start w:val="1"/>
      <w:numFmt w:val="bullet"/>
      <w:lvlText w:val=""/>
      <w:lvlJc w:val="left"/>
      <w:pPr>
        <w:ind w:left="3960" w:hanging="360"/>
      </w:pPr>
      <w:rPr>
        <w:rFonts w:ascii="Wingdings" w:hAnsi="Wingdings" w:hint="default"/>
      </w:rPr>
    </w:lvl>
    <w:lvl w:ilvl="6" w:tplc="712646D2" w:tentative="1">
      <w:start w:val="1"/>
      <w:numFmt w:val="bullet"/>
      <w:lvlText w:val=""/>
      <w:lvlJc w:val="left"/>
      <w:pPr>
        <w:ind w:left="4680" w:hanging="360"/>
      </w:pPr>
      <w:rPr>
        <w:rFonts w:ascii="Symbol" w:hAnsi="Symbol" w:hint="default"/>
      </w:rPr>
    </w:lvl>
    <w:lvl w:ilvl="7" w:tplc="6FC438F6" w:tentative="1">
      <w:start w:val="1"/>
      <w:numFmt w:val="bullet"/>
      <w:lvlText w:val="o"/>
      <w:lvlJc w:val="left"/>
      <w:pPr>
        <w:ind w:left="5400" w:hanging="360"/>
      </w:pPr>
      <w:rPr>
        <w:rFonts w:ascii="Courier New" w:hAnsi="Courier New" w:cs="Courier New" w:hint="default"/>
      </w:rPr>
    </w:lvl>
    <w:lvl w:ilvl="8" w:tplc="90045854" w:tentative="1">
      <w:start w:val="1"/>
      <w:numFmt w:val="bullet"/>
      <w:lvlText w:val=""/>
      <w:lvlJc w:val="left"/>
      <w:pPr>
        <w:ind w:left="6120" w:hanging="360"/>
      </w:pPr>
      <w:rPr>
        <w:rFonts w:ascii="Wingdings" w:hAnsi="Wingdings" w:hint="default"/>
      </w:rPr>
    </w:lvl>
  </w:abstractNum>
  <w:abstractNum w:abstractNumId="3" w15:restartNumberingAfterBreak="0">
    <w:nsid w:val="116E5CB1"/>
    <w:multiLevelType w:val="hybridMultilevel"/>
    <w:tmpl w:val="63508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8601CA"/>
    <w:multiLevelType w:val="hybridMultilevel"/>
    <w:tmpl w:val="BB8A422A"/>
    <w:lvl w:ilvl="0" w:tplc="9438B254">
      <w:start w:val="1"/>
      <w:numFmt w:val="bullet"/>
      <w:lvlText w:val=""/>
      <w:lvlJc w:val="left"/>
      <w:pPr>
        <w:ind w:left="360" w:hanging="360"/>
      </w:pPr>
      <w:rPr>
        <w:rFonts w:ascii="Symbol" w:hAnsi="Symbol" w:hint="default"/>
      </w:rPr>
    </w:lvl>
    <w:lvl w:ilvl="1" w:tplc="F2C4E3AA" w:tentative="1">
      <w:start w:val="1"/>
      <w:numFmt w:val="bullet"/>
      <w:lvlText w:val="o"/>
      <w:lvlJc w:val="left"/>
      <w:pPr>
        <w:ind w:left="1080" w:hanging="360"/>
      </w:pPr>
      <w:rPr>
        <w:rFonts w:ascii="Courier New" w:hAnsi="Courier New" w:cs="Courier New" w:hint="default"/>
      </w:rPr>
    </w:lvl>
    <w:lvl w:ilvl="2" w:tplc="A866C58A" w:tentative="1">
      <w:start w:val="1"/>
      <w:numFmt w:val="bullet"/>
      <w:lvlText w:val=""/>
      <w:lvlJc w:val="left"/>
      <w:pPr>
        <w:ind w:left="1800" w:hanging="360"/>
      </w:pPr>
      <w:rPr>
        <w:rFonts w:ascii="Wingdings" w:hAnsi="Wingdings" w:hint="default"/>
      </w:rPr>
    </w:lvl>
    <w:lvl w:ilvl="3" w:tplc="D3B20984" w:tentative="1">
      <w:start w:val="1"/>
      <w:numFmt w:val="bullet"/>
      <w:lvlText w:val=""/>
      <w:lvlJc w:val="left"/>
      <w:pPr>
        <w:ind w:left="2520" w:hanging="360"/>
      </w:pPr>
      <w:rPr>
        <w:rFonts w:ascii="Symbol" w:hAnsi="Symbol" w:hint="default"/>
      </w:rPr>
    </w:lvl>
    <w:lvl w:ilvl="4" w:tplc="71705FB6" w:tentative="1">
      <w:start w:val="1"/>
      <w:numFmt w:val="bullet"/>
      <w:lvlText w:val="o"/>
      <w:lvlJc w:val="left"/>
      <w:pPr>
        <w:ind w:left="3240" w:hanging="360"/>
      </w:pPr>
      <w:rPr>
        <w:rFonts w:ascii="Courier New" w:hAnsi="Courier New" w:cs="Courier New" w:hint="default"/>
      </w:rPr>
    </w:lvl>
    <w:lvl w:ilvl="5" w:tplc="54D022B4" w:tentative="1">
      <w:start w:val="1"/>
      <w:numFmt w:val="bullet"/>
      <w:lvlText w:val=""/>
      <w:lvlJc w:val="left"/>
      <w:pPr>
        <w:ind w:left="3960" w:hanging="360"/>
      </w:pPr>
      <w:rPr>
        <w:rFonts w:ascii="Wingdings" w:hAnsi="Wingdings" w:hint="default"/>
      </w:rPr>
    </w:lvl>
    <w:lvl w:ilvl="6" w:tplc="B84A66DC" w:tentative="1">
      <w:start w:val="1"/>
      <w:numFmt w:val="bullet"/>
      <w:lvlText w:val=""/>
      <w:lvlJc w:val="left"/>
      <w:pPr>
        <w:ind w:left="4680" w:hanging="360"/>
      </w:pPr>
      <w:rPr>
        <w:rFonts w:ascii="Symbol" w:hAnsi="Symbol" w:hint="default"/>
      </w:rPr>
    </w:lvl>
    <w:lvl w:ilvl="7" w:tplc="65C01302" w:tentative="1">
      <w:start w:val="1"/>
      <w:numFmt w:val="bullet"/>
      <w:lvlText w:val="o"/>
      <w:lvlJc w:val="left"/>
      <w:pPr>
        <w:ind w:left="5400" w:hanging="360"/>
      </w:pPr>
      <w:rPr>
        <w:rFonts w:ascii="Courier New" w:hAnsi="Courier New" w:cs="Courier New" w:hint="default"/>
      </w:rPr>
    </w:lvl>
    <w:lvl w:ilvl="8" w:tplc="9B98B612" w:tentative="1">
      <w:start w:val="1"/>
      <w:numFmt w:val="bullet"/>
      <w:lvlText w:val=""/>
      <w:lvlJc w:val="left"/>
      <w:pPr>
        <w:ind w:left="6120" w:hanging="360"/>
      </w:pPr>
      <w:rPr>
        <w:rFonts w:ascii="Wingdings" w:hAnsi="Wingdings" w:hint="default"/>
      </w:rPr>
    </w:lvl>
  </w:abstractNum>
  <w:abstractNum w:abstractNumId="5" w15:restartNumberingAfterBreak="0">
    <w:nsid w:val="216E3DC7"/>
    <w:multiLevelType w:val="hybridMultilevel"/>
    <w:tmpl w:val="5F966D32"/>
    <w:lvl w:ilvl="0" w:tplc="3DAA10AC">
      <w:start w:val="1"/>
      <w:numFmt w:val="bullet"/>
      <w:lvlText w:val=""/>
      <w:lvlJc w:val="left"/>
      <w:pPr>
        <w:ind w:left="720" w:hanging="360"/>
      </w:pPr>
      <w:rPr>
        <w:rFonts w:ascii="Symbol" w:hAnsi="Symbol" w:hint="default"/>
      </w:rPr>
    </w:lvl>
    <w:lvl w:ilvl="1" w:tplc="F24CF714">
      <w:start w:val="1"/>
      <w:numFmt w:val="bullet"/>
      <w:lvlText w:val="o"/>
      <w:lvlJc w:val="left"/>
      <w:pPr>
        <w:ind w:left="1440" w:hanging="360"/>
      </w:pPr>
      <w:rPr>
        <w:rFonts w:ascii="Courier New" w:hAnsi="Courier New" w:cs="Courier New" w:hint="default"/>
      </w:rPr>
    </w:lvl>
    <w:lvl w:ilvl="2" w:tplc="6472FDCC">
      <w:start w:val="1"/>
      <w:numFmt w:val="bullet"/>
      <w:lvlText w:val=""/>
      <w:lvlJc w:val="left"/>
      <w:pPr>
        <w:ind w:left="2160" w:hanging="360"/>
      </w:pPr>
      <w:rPr>
        <w:rFonts w:ascii="Wingdings" w:hAnsi="Wingdings" w:hint="default"/>
      </w:rPr>
    </w:lvl>
    <w:lvl w:ilvl="3" w:tplc="09BA7276">
      <w:start w:val="1"/>
      <w:numFmt w:val="bullet"/>
      <w:lvlText w:val=""/>
      <w:lvlJc w:val="left"/>
      <w:pPr>
        <w:ind w:left="2880" w:hanging="360"/>
      </w:pPr>
      <w:rPr>
        <w:rFonts w:ascii="Symbol" w:hAnsi="Symbol" w:hint="default"/>
      </w:rPr>
    </w:lvl>
    <w:lvl w:ilvl="4" w:tplc="A934D37A">
      <w:start w:val="1"/>
      <w:numFmt w:val="bullet"/>
      <w:lvlText w:val="o"/>
      <w:lvlJc w:val="left"/>
      <w:pPr>
        <w:ind w:left="3600" w:hanging="360"/>
      </w:pPr>
      <w:rPr>
        <w:rFonts w:ascii="Courier New" w:hAnsi="Courier New" w:cs="Courier New" w:hint="default"/>
      </w:rPr>
    </w:lvl>
    <w:lvl w:ilvl="5" w:tplc="745C6F5E">
      <w:start w:val="1"/>
      <w:numFmt w:val="bullet"/>
      <w:lvlText w:val=""/>
      <w:lvlJc w:val="left"/>
      <w:pPr>
        <w:ind w:left="4320" w:hanging="360"/>
      </w:pPr>
      <w:rPr>
        <w:rFonts w:ascii="Wingdings" w:hAnsi="Wingdings" w:hint="default"/>
      </w:rPr>
    </w:lvl>
    <w:lvl w:ilvl="6" w:tplc="04E63D8E">
      <w:start w:val="1"/>
      <w:numFmt w:val="bullet"/>
      <w:lvlText w:val=""/>
      <w:lvlJc w:val="left"/>
      <w:pPr>
        <w:ind w:left="5040" w:hanging="360"/>
      </w:pPr>
      <w:rPr>
        <w:rFonts w:ascii="Symbol" w:hAnsi="Symbol" w:hint="default"/>
      </w:rPr>
    </w:lvl>
    <w:lvl w:ilvl="7" w:tplc="DB3E8E4C">
      <w:start w:val="1"/>
      <w:numFmt w:val="bullet"/>
      <w:lvlText w:val="o"/>
      <w:lvlJc w:val="left"/>
      <w:pPr>
        <w:ind w:left="5760" w:hanging="360"/>
      </w:pPr>
      <w:rPr>
        <w:rFonts w:ascii="Courier New" w:hAnsi="Courier New" w:cs="Courier New" w:hint="default"/>
      </w:rPr>
    </w:lvl>
    <w:lvl w:ilvl="8" w:tplc="9F88A23A">
      <w:start w:val="1"/>
      <w:numFmt w:val="bullet"/>
      <w:lvlText w:val=""/>
      <w:lvlJc w:val="left"/>
      <w:pPr>
        <w:ind w:left="6480" w:hanging="360"/>
      </w:pPr>
      <w:rPr>
        <w:rFonts w:ascii="Wingdings" w:hAnsi="Wingdings" w:hint="default"/>
      </w:rPr>
    </w:lvl>
  </w:abstractNum>
  <w:abstractNum w:abstractNumId="6" w15:restartNumberingAfterBreak="0">
    <w:nsid w:val="23C1662B"/>
    <w:multiLevelType w:val="hybridMultilevel"/>
    <w:tmpl w:val="8BEC4976"/>
    <w:lvl w:ilvl="0" w:tplc="D534C9FA">
      <w:start w:val="1"/>
      <w:numFmt w:val="bullet"/>
      <w:lvlText w:val=""/>
      <w:lvlJc w:val="left"/>
      <w:pPr>
        <w:ind w:left="360" w:hanging="360"/>
      </w:pPr>
      <w:rPr>
        <w:rFonts w:ascii="Symbol" w:hAnsi="Symbol" w:hint="default"/>
      </w:rPr>
    </w:lvl>
    <w:lvl w:ilvl="1" w:tplc="F5D22932" w:tentative="1">
      <w:start w:val="1"/>
      <w:numFmt w:val="bullet"/>
      <w:lvlText w:val="o"/>
      <w:lvlJc w:val="left"/>
      <w:pPr>
        <w:ind w:left="1080" w:hanging="360"/>
      </w:pPr>
      <w:rPr>
        <w:rFonts w:ascii="Courier New" w:hAnsi="Courier New" w:cs="Courier New" w:hint="default"/>
      </w:rPr>
    </w:lvl>
    <w:lvl w:ilvl="2" w:tplc="B5D66700" w:tentative="1">
      <w:start w:val="1"/>
      <w:numFmt w:val="bullet"/>
      <w:lvlText w:val=""/>
      <w:lvlJc w:val="left"/>
      <w:pPr>
        <w:ind w:left="1800" w:hanging="360"/>
      </w:pPr>
      <w:rPr>
        <w:rFonts w:ascii="Wingdings" w:hAnsi="Wingdings" w:hint="default"/>
      </w:rPr>
    </w:lvl>
    <w:lvl w:ilvl="3" w:tplc="034A6A64" w:tentative="1">
      <w:start w:val="1"/>
      <w:numFmt w:val="bullet"/>
      <w:lvlText w:val=""/>
      <w:lvlJc w:val="left"/>
      <w:pPr>
        <w:ind w:left="2520" w:hanging="360"/>
      </w:pPr>
      <w:rPr>
        <w:rFonts w:ascii="Symbol" w:hAnsi="Symbol" w:hint="default"/>
      </w:rPr>
    </w:lvl>
    <w:lvl w:ilvl="4" w:tplc="E70669BE" w:tentative="1">
      <w:start w:val="1"/>
      <w:numFmt w:val="bullet"/>
      <w:lvlText w:val="o"/>
      <w:lvlJc w:val="left"/>
      <w:pPr>
        <w:ind w:left="3240" w:hanging="360"/>
      </w:pPr>
      <w:rPr>
        <w:rFonts w:ascii="Courier New" w:hAnsi="Courier New" w:cs="Courier New" w:hint="default"/>
      </w:rPr>
    </w:lvl>
    <w:lvl w:ilvl="5" w:tplc="2C205242" w:tentative="1">
      <w:start w:val="1"/>
      <w:numFmt w:val="bullet"/>
      <w:lvlText w:val=""/>
      <w:lvlJc w:val="left"/>
      <w:pPr>
        <w:ind w:left="3960" w:hanging="360"/>
      </w:pPr>
      <w:rPr>
        <w:rFonts w:ascii="Wingdings" w:hAnsi="Wingdings" w:hint="default"/>
      </w:rPr>
    </w:lvl>
    <w:lvl w:ilvl="6" w:tplc="121C137E" w:tentative="1">
      <w:start w:val="1"/>
      <w:numFmt w:val="bullet"/>
      <w:lvlText w:val=""/>
      <w:lvlJc w:val="left"/>
      <w:pPr>
        <w:ind w:left="4680" w:hanging="360"/>
      </w:pPr>
      <w:rPr>
        <w:rFonts w:ascii="Symbol" w:hAnsi="Symbol" w:hint="default"/>
      </w:rPr>
    </w:lvl>
    <w:lvl w:ilvl="7" w:tplc="29284804" w:tentative="1">
      <w:start w:val="1"/>
      <w:numFmt w:val="bullet"/>
      <w:lvlText w:val="o"/>
      <w:lvlJc w:val="left"/>
      <w:pPr>
        <w:ind w:left="5400" w:hanging="360"/>
      </w:pPr>
      <w:rPr>
        <w:rFonts w:ascii="Courier New" w:hAnsi="Courier New" w:cs="Courier New" w:hint="default"/>
      </w:rPr>
    </w:lvl>
    <w:lvl w:ilvl="8" w:tplc="1C983664" w:tentative="1">
      <w:start w:val="1"/>
      <w:numFmt w:val="bullet"/>
      <w:lvlText w:val=""/>
      <w:lvlJc w:val="left"/>
      <w:pPr>
        <w:ind w:left="6120" w:hanging="360"/>
      </w:pPr>
      <w:rPr>
        <w:rFonts w:ascii="Wingdings" w:hAnsi="Wingdings" w:hint="default"/>
      </w:rPr>
    </w:lvl>
  </w:abstractNum>
  <w:abstractNum w:abstractNumId="7" w15:restartNumberingAfterBreak="0">
    <w:nsid w:val="250C03F7"/>
    <w:multiLevelType w:val="hybridMultilevel"/>
    <w:tmpl w:val="BA02538E"/>
    <w:lvl w:ilvl="0" w:tplc="C63EAF2E">
      <w:start w:val="1"/>
      <w:numFmt w:val="decimal"/>
      <w:pStyle w:val="TableListNumb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AC3D08"/>
    <w:multiLevelType w:val="hybridMultilevel"/>
    <w:tmpl w:val="1BE8FAC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0" w15:restartNumberingAfterBreak="0">
    <w:nsid w:val="3A366AE5"/>
    <w:multiLevelType w:val="hybridMultilevel"/>
    <w:tmpl w:val="3476DF7C"/>
    <w:lvl w:ilvl="0" w:tplc="CDB63990">
      <w:start w:val="1"/>
      <w:numFmt w:val="bullet"/>
      <w:lvlText w:val=""/>
      <w:lvlJc w:val="left"/>
      <w:pPr>
        <w:ind w:left="360" w:hanging="360"/>
      </w:pPr>
      <w:rPr>
        <w:rFonts w:ascii="Symbol" w:hAnsi="Symbol" w:hint="default"/>
      </w:rPr>
    </w:lvl>
    <w:lvl w:ilvl="1" w:tplc="D6C267B2" w:tentative="1">
      <w:start w:val="1"/>
      <w:numFmt w:val="bullet"/>
      <w:lvlText w:val="o"/>
      <w:lvlJc w:val="left"/>
      <w:pPr>
        <w:ind w:left="1080" w:hanging="360"/>
      </w:pPr>
      <w:rPr>
        <w:rFonts w:ascii="Courier New" w:hAnsi="Courier New" w:cs="Courier New" w:hint="default"/>
      </w:rPr>
    </w:lvl>
    <w:lvl w:ilvl="2" w:tplc="77FEDCAC" w:tentative="1">
      <w:start w:val="1"/>
      <w:numFmt w:val="bullet"/>
      <w:lvlText w:val=""/>
      <w:lvlJc w:val="left"/>
      <w:pPr>
        <w:ind w:left="1800" w:hanging="360"/>
      </w:pPr>
      <w:rPr>
        <w:rFonts w:ascii="Wingdings" w:hAnsi="Wingdings" w:hint="default"/>
      </w:rPr>
    </w:lvl>
    <w:lvl w:ilvl="3" w:tplc="39782E94" w:tentative="1">
      <w:start w:val="1"/>
      <w:numFmt w:val="bullet"/>
      <w:lvlText w:val=""/>
      <w:lvlJc w:val="left"/>
      <w:pPr>
        <w:ind w:left="2520" w:hanging="360"/>
      </w:pPr>
      <w:rPr>
        <w:rFonts w:ascii="Symbol" w:hAnsi="Symbol" w:hint="default"/>
      </w:rPr>
    </w:lvl>
    <w:lvl w:ilvl="4" w:tplc="67DA83F6" w:tentative="1">
      <w:start w:val="1"/>
      <w:numFmt w:val="bullet"/>
      <w:lvlText w:val="o"/>
      <w:lvlJc w:val="left"/>
      <w:pPr>
        <w:ind w:left="3240" w:hanging="360"/>
      </w:pPr>
      <w:rPr>
        <w:rFonts w:ascii="Courier New" w:hAnsi="Courier New" w:cs="Courier New" w:hint="default"/>
      </w:rPr>
    </w:lvl>
    <w:lvl w:ilvl="5" w:tplc="EBB4D5BC" w:tentative="1">
      <w:start w:val="1"/>
      <w:numFmt w:val="bullet"/>
      <w:lvlText w:val=""/>
      <w:lvlJc w:val="left"/>
      <w:pPr>
        <w:ind w:left="3960" w:hanging="360"/>
      </w:pPr>
      <w:rPr>
        <w:rFonts w:ascii="Wingdings" w:hAnsi="Wingdings" w:hint="default"/>
      </w:rPr>
    </w:lvl>
    <w:lvl w:ilvl="6" w:tplc="15D03522" w:tentative="1">
      <w:start w:val="1"/>
      <w:numFmt w:val="bullet"/>
      <w:lvlText w:val=""/>
      <w:lvlJc w:val="left"/>
      <w:pPr>
        <w:ind w:left="4680" w:hanging="360"/>
      </w:pPr>
      <w:rPr>
        <w:rFonts w:ascii="Symbol" w:hAnsi="Symbol" w:hint="default"/>
      </w:rPr>
    </w:lvl>
    <w:lvl w:ilvl="7" w:tplc="C564475A" w:tentative="1">
      <w:start w:val="1"/>
      <w:numFmt w:val="bullet"/>
      <w:lvlText w:val="o"/>
      <w:lvlJc w:val="left"/>
      <w:pPr>
        <w:ind w:left="5400" w:hanging="360"/>
      </w:pPr>
      <w:rPr>
        <w:rFonts w:ascii="Courier New" w:hAnsi="Courier New" w:cs="Courier New" w:hint="default"/>
      </w:rPr>
    </w:lvl>
    <w:lvl w:ilvl="8" w:tplc="DD92C3FA" w:tentative="1">
      <w:start w:val="1"/>
      <w:numFmt w:val="bullet"/>
      <w:lvlText w:val=""/>
      <w:lvlJc w:val="left"/>
      <w:pPr>
        <w:ind w:left="6120" w:hanging="360"/>
      </w:pPr>
      <w:rPr>
        <w:rFonts w:ascii="Wingdings" w:hAnsi="Wingdings" w:hint="default"/>
      </w:rPr>
    </w:lvl>
  </w:abstractNum>
  <w:abstractNum w:abstractNumId="11"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D123FA"/>
    <w:multiLevelType w:val="hybridMultilevel"/>
    <w:tmpl w:val="C3AA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D62464"/>
    <w:multiLevelType w:val="hybridMultilevel"/>
    <w:tmpl w:val="A81E27CA"/>
    <w:lvl w:ilvl="0" w:tplc="42CCDDCA">
      <w:start w:val="1"/>
      <w:numFmt w:val="bullet"/>
      <w:lvlText w:val=""/>
      <w:lvlJc w:val="left"/>
      <w:pPr>
        <w:ind w:left="360" w:hanging="360"/>
      </w:pPr>
      <w:rPr>
        <w:rFonts w:ascii="Symbol" w:hAnsi="Symbol" w:hint="default"/>
      </w:rPr>
    </w:lvl>
    <w:lvl w:ilvl="1" w:tplc="2D1E3404" w:tentative="1">
      <w:start w:val="1"/>
      <w:numFmt w:val="bullet"/>
      <w:lvlText w:val="o"/>
      <w:lvlJc w:val="left"/>
      <w:pPr>
        <w:ind w:left="1080" w:hanging="360"/>
      </w:pPr>
      <w:rPr>
        <w:rFonts w:ascii="Courier New" w:hAnsi="Courier New" w:cs="Courier New" w:hint="default"/>
      </w:rPr>
    </w:lvl>
    <w:lvl w:ilvl="2" w:tplc="0A164862" w:tentative="1">
      <w:start w:val="1"/>
      <w:numFmt w:val="bullet"/>
      <w:lvlText w:val=""/>
      <w:lvlJc w:val="left"/>
      <w:pPr>
        <w:ind w:left="1800" w:hanging="360"/>
      </w:pPr>
      <w:rPr>
        <w:rFonts w:ascii="Wingdings" w:hAnsi="Wingdings" w:hint="default"/>
      </w:rPr>
    </w:lvl>
    <w:lvl w:ilvl="3" w:tplc="4ADEBBC4" w:tentative="1">
      <w:start w:val="1"/>
      <w:numFmt w:val="bullet"/>
      <w:lvlText w:val=""/>
      <w:lvlJc w:val="left"/>
      <w:pPr>
        <w:ind w:left="2520" w:hanging="360"/>
      </w:pPr>
      <w:rPr>
        <w:rFonts w:ascii="Symbol" w:hAnsi="Symbol" w:hint="default"/>
      </w:rPr>
    </w:lvl>
    <w:lvl w:ilvl="4" w:tplc="F9E8DBB8" w:tentative="1">
      <w:start w:val="1"/>
      <w:numFmt w:val="bullet"/>
      <w:lvlText w:val="o"/>
      <w:lvlJc w:val="left"/>
      <w:pPr>
        <w:ind w:left="3240" w:hanging="360"/>
      </w:pPr>
      <w:rPr>
        <w:rFonts w:ascii="Courier New" w:hAnsi="Courier New" w:cs="Courier New" w:hint="default"/>
      </w:rPr>
    </w:lvl>
    <w:lvl w:ilvl="5" w:tplc="C2D2A1BC" w:tentative="1">
      <w:start w:val="1"/>
      <w:numFmt w:val="bullet"/>
      <w:lvlText w:val=""/>
      <w:lvlJc w:val="left"/>
      <w:pPr>
        <w:ind w:left="3960" w:hanging="360"/>
      </w:pPr>
      <w:rPr>
        <w:rFonts w:ascii="Wingdings" w:hAnsi="Wingdings" w:hint="default"/>
      </w:rPr>
    </w:lvl>
    <w:lvl w:ilvl="6" w:tplc="53D0B586" w:tentative="1">
      <w:start w:val="1"/>
      <w:numFmt w:val="bullet"/>
      <w:lvlText w:val=""/>
      <w:lvlJc w:val="left"/>
      <w:pPr>
        <w:ind w:left="4680" w:hanging="360"/>
      </w:pPr>
      <w:rPr>
        <w:rFonts w:ascii="Symbol" w:hAnsi="Symbol" w:hint="default"/>
      </w:rPr>
    </w:lvl>
    <w:lvl w:ilvl="7" w:tplc="528C3C9C" w:tentative="1">
      <w:start w:val="1"/>
      <w:numFmt w:val="bullet"/>
      <w:lvlText w:val="o"/>
      <w:lvlJc w:val="left"/>
      <w:pPr>
        <w:ind w:left="5400" w:hanging="360"/>
      </w:pPr>
      <w:rPr>
        <w:rFonts w:ascii="Courier New" w:hAnsi="Courier New" w:cs="Courier New" w:hint="default"/>
      </w:rPr>
    </w:lvl>
    <w:lvl w:ilvl="8" w:tplc="BE7AE52C" w:tentative="1">
      <w:start w:val="1"/>
      <w:numFmt w:val="bullet"/>
      <w:lvlText w:val=""/>
      <w:lvlJc w:val="left"/>
      <w:pPr>
        <w:ind w:left="6120" w:hanging="360"/>
      </w:pPr>
      <w:rPr>
        <w:rFonts w:ascii="Wingdings" w:hAnsi="Wingdings" w:hint="default"/>
      </w:rPr>
    </w:lvl>
  </w:abstractNum>
  <w:abstractNum w:abstractNumId="15" w15:restartNumberingAfterBreak="0">
    <w:nsid w:val="5F091D14"/>
    <w:multiLevelType w:val="hybridMultilevel"/>
    <w:tmpl w:val="6900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68211513"/>
    <w:multiLevelType w:val="hybridMultilevel"/>
    <w:tmpl w:val="59E4190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8" w15:restartNumberingAfterBreak="0">
    <w:nsid w:val="688F0CC7"/>
    <w:multiLevelType w:val="hybridMultilevel"/>
    <w:tmpl w:val="A7145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9971AD"/>
    <w:multiLevelType w:val="hybridMultilevel"/>
    <w:tmpl w:val="AF70C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F074CC"/>
    <w:multiLevelType w:val="hybridMultilevel"/>
    <w:tmpl w:val="20B41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8287855">
    <w:abstractNumId w:val="1"/>
  </w:num>
  <w:num w:numId="2" w16cid:durableId="1331638580">
    <w:abstractNumId w:val="0"/>
  </w:num>
  <w:num w:numId="3" w16cid:durableId="1522430525">
    <w:abstractNumId w:val="16"/>
  </w:num>
  <w:num w:numId="4" w16cid:durableId="1630629335">
    <w:abstractNumId w:val="11"/>
  </w:num>
  <w:num w:numId="5" w16cid:durableId="526409027">
    <w:abstractNumId w:val="8"/>
  </w:num>
  <w:num w:numId="6" w16cid:durableId="323897526">
    <w:abstractNumId w:val="7"/>
  </w:num>
  <w:num w:numId="7" w16cid:durableId="1464228468">
    <w:abstractNumId w:val="7"/>
    <w:lvlOverride w:ilvl="0">
      <w:startOverride w:val="1"/>
    </w:lvlOverride>
  </w:num>
  <w:num w:numId="8" w16cid:durableId="170491684">
    <w:abstractNumId w:val="17"/>
  </w:num>
  <w:num w:numId="9" w16cid:durableId="423648930">
    <w:abstractNumId w:val="9"/>
  </w:num>
  <w:num w:numId="10" w16cid:durableId="1970627764">
    <w:abstractNumId w:val="6"/>
  </w:num>
  <w:num w:numId="11" w16cid:durableId="577641109">
    <w:abstractNumId w:val="12"/>
  </w:num>
  <w:num w:numId="12" w16cid:durableId="634257936">
    <w:abstractNumId w:val="13"/>
  </w:num>
  <w:num w:numId="13" w16cid:durableId="169101056">
    <w:abstractNumId w:val="14"/>
  </w:num>
  <w:num w:numId="14" w16cid:durableId="1340308304">
    <w:abstractNumId w:val="20"/>
  </w:num>
  <w:num w:numId="15" w16cid:durableId="1682974464">
    <w:abstractNumId w:val="15"/>
  </w:num>
  <w:num w:numId="16" w16cid:durableId="1861775544">
    <w:abstractNumId w:val="3"/>
  </w:num>
  <w:num w:numId="17" w16cid:durableId="1710295526">
    <w:abstractNumId w:val="19"/>
  </w:num>
  <w:num w:numId="18" w16cid:durableId="682050573">
    <w:abstractNumId w:val="18"/>
  </w:num>
  <w:num w:numId="19" w16cid:durableId="504328034">
    <w:abstractNumId w:val="2"/>
  </w:num>
  <w:num w:numId="20" w16cid:durableId="243690885">
    <w:abstractNumId w:val="10"/>
  </w:num>
  <w:num w:numId="21" w16cid:durableId="1540169117">
    <w:abstractNumId w:val="4"/>
  </w:num>
  <w:num w:numId="22" w16cid:durableId="956256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104B"/>
    <w:rsid w:val="0006766E"/>
    <w:rsid w:val="00083B67"/>
    <w:rsid w:val="000B78D4"/>
    <w:rsid w:val="000E518D"/>
    <w:rsid w:val="00127C75"/>
    <w:rsid w:val="00165363"/>
    <w:rsid w:val="001B535B"/>
    <w:rsid w:val="001F3933"/>
    <w:rsid w:val="00203D66"/>
    <w:rsid w:val="0020642F"/>
    <w:rsid w:val="002745C8"/>
    <w:rsid w:val="002B1ED4"/>
    <w:rsid w:val="002C7B4A"/>
    <w:rsid w:val="00363318"/>
    <w:rsid w:val="00365EA1"/>
    <w:rsid w:val="003701EC"/>
    <w:rsid w:val="004166E9"/>
    <w:rsid w:val="00432B11"/>
    <w:rsid w:val="00440DCB"/>
    <w:rsid w:val="004843DD"/>
    <w:rsid w:val="0049492B"/>
    <w:rsid w:val="004F18C1"/>
    <w:rsid w:val="005C092E"/>
    <w:rsid w:val="005C79F6"/>
    <w:rsid w:val="005E5C0D"/>
    <w:rsid w:val="005F0FB2"/>
    <w:rsid w:val="0062741C"/>
    <w:rsid w:val="00643A34"/>
    <w:rsid w:val="006766BC"/>
    <w:rsid w:val="0067736F"/>
    <w:rsid w:val="006812A6"/>
    <w:rsid w:val="006A0F65"/>
    <w:rsid w:val="00702A27"/>
    <w:rsid w:val="00715ED7"/>
    <w:rsid w:val="00772887"/>
    <w:rsid w:val="00781183"/>
    <w:rsid w:val="007D1946"/>
    <w:rsid w:val="009C0DAF"/>
    <w:rsid w:val="00A45908"/>
    <w:rsid w:val="00A9394B"/>
    <w:rsid w:val="00B437A9"/>
    <w:rsid w:val="00B620E9"/>
    <w:rsid w:val="00B6556A"/>
    <w:rsid w:val="00BE6E10"/>
    <w:rsid w:val="00C031AB"/>
    <w:rsid w:val="00C35C46"/>
    <w:rsid w:val="00C538E5"/>
    <w:rsid w:val="00CB7679"/>
    <w:rsid w:val="00CF0091"/>
    <w:rsid w:val="00CF5BF6"/>
    <w:rsid w:val="00D32BBE"/>
    <w:rsid w:val="00D37F4E"/>
    <w:rsid w:val="00D40134"/>
    <w:rsid w:val="00D90863"/>
    <w:rsid w:val="00DD5D78"/>
    <w:rsid w:val="00E06711"/>
    <w:rsid w:val="00E412EB"/>
    <w:rsid w:val="00E46A2E"/>
    <w:rsid w:val="00E509D9"/>
    <w:rsid w:val="00EA2F27"/>
    <w:rsid w:val="00F31D13"/>
    <w:rsid w:val="00F8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lang w:val="en-AU"/>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365EA1"/>
    <w:pPr>
      <w:keepNext/>
      <w:keepLines/>
      <w:spacing w:before="120" w:after="60" w:line="240" w:lineRule="auto"/>
      <w:outlineLvl w:val="1"/>
    </w:pPr>
    <w:rPr>
      <w:rFonts w:eastAsiaTheme="majorEastAsia" w:cstheme="majorBidi"/>
      <w:b/>
      <w:bCs/>
      <w:color w:val="26555C"/>
      <w:sz w:val="32"/>
      <w:szCs w:val="26"/>
    </w:rPr>
  </w:style>
  <w:style w:type="paragraph" w:styleId="Heading3">
    <w:name w:val="heading 3"/>
    <w:basedOn w:val="Normal"/>
    <w:next w:val="Normal"/>
    <w:link w:val="Heading3Char"/>
    <w:uiPriority w:val="9"/>
    <w:semiHidden/>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semiHidden/>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365EA1"/>
    <w:rPr>
      <w:rFonts w:ascii="Arial" w:eastAsiaTheme="majorEastAsia" w:hAnsi="Arial" w:cstheme="majorBidi"/>
      <w:b/>
      <w:bCs/>
      <w:color w:val="26555C"/>
      <w:sz w:val="32"/>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semiHidden/>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rsid w:val="00F8211B"/>
    <w:pPr>
      <w:numPr>
        <w:numId w:val="1"/>
      </w:numPr>
      <w:tabs>
        <w:tab w:val="clear" w:pos="360"/>
        <w:tab w:val="num" w:pos="284"/>
      </w:tabs>
      <w:spacing w:before="60" w:after="60" w:line="240" w:lineRule="auto"/>
      <w:ind w:left="284" w:hanging="284"/>
    </w:pPr>
    <w:rPr>
      <w:rFonts w:eastAsia="Times New Roman" w:cs="Times New Roman"/>
      <w:lang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eastAsia="en-AU"/>
    </w:rPr>
  </w:style>
  <w:style w:type="paragraph" w:customStyle="1" w:styleId="NoHeading2">
    <w:name w:val="No. Heading 2"/>
    <w:basedOn w:val="Heading2"/>
    <w:next w:val="BodyText"/>
    <w:rsid w:val="00F8211B"/>
    <w:pPr>
      <w:keepLines w:val="0"/>
      <w:numPr>
        <w:ilvl w:val="1"/>
        <w:numId w:val="3"/>
      </w:numPr>
      <w:spacing w:before="240" w:after="240"/>
    </w:pPr>
    <w:rPr>
      <w:rFonts w:eastAsia="Times New Roman" w:cs="Times New Roman"/>
      <w:color w:val="27575E"/>
      <w:szCs w:val="24"/>
      <w:lang w:eastAsia="en-AU"/>
    </w:r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paragraph" w:styleId="ListParagraph">
    <w:name w:val="List Paragraph"/>
    <w:aliases w:val="Bullet Point,Bullet point,Bullet points,Bulleted Para,Content descriptions,Dot pt,L,List Paragraph Number,List Paragraph1,List Paragraph11,List Paragraph111,List Paragraph2,NAST Quote,NFP GP Bulleted List,Recommendation,bullet point list"/>
    <w:basedOn w:val="Normal"/>
    <w:link w:val="ListParagraphChar"/>
    <w:uiPriority w:val="34"/>
    <w:qFormat/>
    <w:rsid w:val="004166E9"/>
    <w:pPr>
      <w:spacing w:after="0" w:line="240" w:lineRule="auto"/>
      <w:ind w:left="720"/>
    </w:pPr>
    <w:rPr>
      <w:rFonts w:ascii="Calibri" w:eastAsiaTheme="minorHAnsi" w:hAnsi="Calibri" w:cs="Calibri"/>
      <w:szCs w:val="22"/>
    </w:rPr>
  </w:style>
  <w:style w:type="character" w:customStyle="1" w:styleId="ListParagraphChar">
    <w:name w:val="List Paragraph Char"/>
    <w:aliases w:val="Bullet Point Char,Bullet point Char,Bullet points Char,Bulleted Para Char,Content descriptions Char,Dot pt Char,L Char,List Paragraph Number Char,List Paragraph1 Char,List Paragraph11 Char,List Paragraph111 Char,List Paragraph2 Char"/>
    <w:link w:val="ListParagraph"/>
    <w:uiPriority w:val="34"/>
    <w:locked/>
    <w:rsid w:val="004166E9"/>
    <w:rPr>
      <w:rFonts w:ascii="Calibri" w:eastAsiaTheme="minorHAnsi" w:hAnsi="Calibri" w:cs="Calibri"/>
      <w:sz w:val="22"/>
      <w:szCs w:val="22"/>
      <w:lang w:val="en-AU"/>
    </w:rPr>
  </w:style>
  <w:style w:type="character" w:styleId="FootnoteReference">
    <w:name w:val="footnote reference"/>
    <w:basedOn w:val="DefaultParagraphFont"/>
    <w:semiHidden/>
    <w:unhideWhenUsed/>
    <w:rsid w:val="004166E9"/>
    <w:rPr>
      <w:vertAlign w:val="superscript"/>
    </w:rPr>
  </w:style>
  <w:style w:type="paragraph" w:styleId="FootnoteText">
    <w:name w:val="footnote text"/>
    <w:basedOn w:val="Normal"/>
    <w:link w:val="FootnoteTextChar1"/>
    <w:uiPriority w:val="99"/>
    <w:semiHidden/>
    <w:unhideWhenUsed/>
    <w:rsid w:val="004166E9"/>
    <w:pPr>
      <w:spacing w:after="0" w:line="240" w:lineRule="auto"/>
    </w:pPr>
    <w:rPr>
      <w:rFonts w:eastAsia="Times New Roman" w:cs="Arial"/>
      <w:sz w:val="20"/>
      <w:szCs w:val="20"/>
      <w:lang w:eastAsia="en-AU"/>
    </w:rPr>
  </w:style>
  <w:style w:type="character" w:customStyle="1" w:styleId="FootnoteTextChar">
    <w:name w:val="Footnote Text Char"/>
    <w:basedOn w:val="DefaultParagraphFont"/>
    <w:uiPriority w:val="99"/>
    <w:semiHidden/>
    <w:rsid w:val="004166E9"/>
    <w:rPr>
      <w:rFonts w:ascii="Arial" w:hAnsi="Arial"/>
      <w:sz w:val="20"/>
      <w:szCs w:val="20"/>
    </w:rPr>
  </w:style>
  <w:style w:type="character" w:customStyle="1" w:styleId="FootnoteTextChar1">
    <w:name w:val="Footnote Text Char1"/>
    <w:basedOn w:val="DefaultParagraphFont"/>
    <w:link w:val="FootnoteText"/>
    <w:uiPriority w:val="99"/>
    <w:semiHidden/>
    <w:rsid w:val="004166E9"/>
    <w:rPr>
      <w:rFonts w:ascii="Arial" w:eastAsia="Times New Roman" w:hAnsi="Arial" w:cs="Arial"/>
      <w:sz w:val="20"/>
      <w:szCs w:val="20"/>
      <w:lang w:eastAsia="en-AU"/>
    </w:rPr>
  </w:style>
  <w:style w:type="table" w:styleId="TableGrid">
    <w:name w:val="Table Grid"/>
    <w:basedOn w:val="TableNormal"/>
    <w:uiPriority w:val="59"/>
    <w:rsid w:val="0064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15ED7"/>
    <w:pPr>
      <w:spacing w:after="120" w:line="480" w:lineRule="auto"/>
    </w:pPr>
  </w:style>
  <w:style w:type="character" w:customStyle="1" w:styleId="BodyText2Char">
    <w:name w:val="Body Text 2 Char"/>
    <w:basedOn w:val="DefaultParagraphFont"/>
    <w:link w:val="BodyText2"/>
    <w:uiPriority w:val="99"/>
    <w:semiHidden/>
    <w:rsid w:val="00715ED7"/>
    <w:rPr>
      <w:rFonts w:ascii="Arial" w:hAnsi="Arial"/>
      <w:sz w:val="22"/>
      <w:lang w:val="en-AU"/>
    </w:rPr>
  </w:style>
  <w:style w:type="character" w:styleId="Hyperlink">
    <w:name w:val="Hyperlink"/>
    <w:basedOn w:val="DefaultParagraphFont"/>
    <w:unhideWhenUsed/>
    <w:rsid w:val="00715ED7"/>
    <w:rPr>
      <w:color w:val="0000FF" w:themeColor="hyperlink"/>
      <w:u w:val="single"/>
    </w:rPr>
  </w:style>
  <w:style w:type="table" w:customStyle="1" w:styleId="TableGrid1">
    <w:name w:val="Table Grid1"/>
    <w:basedOn w:val="TableNormal"/>
    <w:next w:val="TableGrid"/>
    <w:uiPriority w:val="39"/>
    <w:rsid w:val="00715ED7"/>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slation.qld.gov.au/view/whole/html/inforce/current/act-2006-012"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legislation.qld.gov.au/view/whole/html/inforce/current/act-2007-0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legislation.qld.gov.au/view/whole/html/inforce/current/act-2009-004" TargetMode="Externa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mailto:ODDG_DSC@dcssds.qld.gov.a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https://www.legislation.qld.gov.au/view/whole/html/inforce/current/act-2011-013"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DB375-4268-4BC2-B345-6334284FC78F}" type="doc">
      <dgm:prSet loTypeId="urn:microsoft.com/office/officeart/2005/8/layout/lProcess2" loCatId="list" qsTypeId="urn:microsoft.com/office/officeart/2005/8/quickstyle/simple1" qsCatId="simple" csTypeId="urn:microsoft.com/office/officeart/2005/8/colors/accent5_2" csCatId="accent5" phldr="1"/>
      <dgm:spPr/>
      <dgm:t>
        <a:bodyPr/>
        <a:lstStyle/>
        <a:p>
          <a:endParaRPr lang="en-AU"/>
        </a:p>
      </dgm:t>
    </dgm:pt>
    <dgm:pt modelId="{4658901E-AE0E-4667-B9E6-73ED824DD2D6}">
      <dgm:prSet phldrT="[Text]" custT="1"/>
      <dgm:spPr/>
      <dgm:t>
        <a:bodyPr/>
        <a:lstStyle/>
        <a:p>
          <a:r>
            <a:rPr lang="en-AU" sz="1600">
              <a:latin typeface="Arial" panose="020B0604020202020204" pitchFamily="34" charset="0"/>
              <a:cs typeface="Arial" panose="020B0604020202020204" pitchFamily="34" charset="0"/>
            </a:rPr>
            <a:t>Disability Services'     S</a:t>
          </a:r>
          <a:r>
            <a:rPr lang="en-US" sz="1600">
              <a:latin typeface="Arial" panose="020B0604020202020204" pitchFamily="34" charset="0"/>
              <a:cs typeface="Arial" panose="020B0604020202020204" pitchFamily="34" charset="0"/>
            </a:rPr>
            <a:t>afeguard F</a:t>
          </a:r>
          <a:r>
            <a:rPr lang="en-AU" sz="1600">
              <a:latin typeface="Arial" panose="020B0604020202020204" pitchFamily="34" charset="0"/>
              <a:cs typeface="Arial" panose="020B0604020202020204" pitchFamily="34" charset="0"/>
            </a:rPr>
            <a:t>unctions </a:t>
          </a:r>
        </a:p>
      </dgm:t>
    </dgm:pt>
    <dgm:pt modelId="{EA252776-36BC-4637-992D-65E8EC07A8B3}" type="parTrans" cxnId="{6522E1BC-16F7-4403-B886-3CB6B209F356}">
      <dgm:prSet/>
      <dgm:spPr/>
      <dgm:t>
        <a:bodyPr/>
        <a:lstStyle/>
        <a:p>
          <a:endParaRPr lang="en-AU"/>
        </a:p>
      </dgm:t>
    </dgm:pt>
    <dgm:pt modelId="{13910490-C3CC-4E05-847D-8BA35FD46C18}" type="sibTrans" cxnId="{6522E1BC-16F7-4403-B886-3CB6B209F356}">
      <dgm:prSet/>
      <dgm:spPr/>
      <dgm:t>
        <a:bodyPr/>
        <a:lstStyle/>
        <a:p>
          <a:endParaRPr lang="en-AU"/>
        </a:p>
      </dgm:t>
    </dgm:pt>
    <dgm:pt modelId="{C108DAE8-C67C-4482-B535-8E959CFC2F67}">
      <dgm:prSet phldrT="[Text]" custT="1"/>
      <dgm:spPr/>
      <dgm:t>
        <a:bodyPr/>
        <a:lstStyle/>
        <a:p>
          <a:pPr algn="ctr">
            <a:lnSpc>
              <a:spcPct val="100000"/>
            </a:lnSpc>
            <a:spcBef>
              <a:spcPts val="600"/>
            </a:spcBef>
            <a:spcAft>
              <a:spcPts val="600"/>
            </a:spcAft>
          </a:pPr>
          <a:r>
            <a:rPr lang="en-AU" sz="1200">
              <a:latin typeface="Arial" panose="020B0604020202020204" pitchFamily="34" charset="0"/>
              <a:cs typeface="Arial" panose="020B0604020202020204" pitchFamily="34" charset="0"/>
            </a:rPr>
            <a:t>External complaints management system</a:t>
          </a:r>
        </a:p>
        <a:p>
          <a:pPr algn="ctr">
            <a:lnSpc>
              <a:spcPct val="100000"/>
            </a:lnSpc>
            <a:spcBef>
              <a:spcPts val="600"/>
            </a:spcBef>
            <a:spcAft>
              <a:spcPts val="600"/>
            </a:spcAft>
          </a:pPr>
          <a:r>
            <a:rPr lang="en-US" sz="1200">
              <a:latin typeface="Arial" panose="020B0604020202020204" pitchFamily="34" charset="0"/>
              <a:cs typeface="Arial" panose="020B0604020202020204" pitchFamily="34" charset="0"/>
            </a:rPr>
            <a:t>Authorisation of short-term use of restrictive practices</a:t>
          </a:r>
          <a:endParaRPr lang="en-AU" sz="1200">
            <a:latin typeface="Arial" panose="020B0604020202020204" pitchFamily="34" charset="0"/>
            <a:cs typeface="Arial" panose="020B0604020202020204" pitchFamily="34" charset="0"/>
          </a:endParaRPr>
        </a:p>
        <a:p>
          <a:pPr algn="ctr">
            <a:lnSpc>
              <a:spcPct val="100000"/>
            </a:lnSpc>
            <a:spcBef>
              <a:spcPts val="600"/>
            </a:spcBef>
            <a:spcAft>
              <a:spcPts val="600"/>
            </a:spcAft>
          </a:pPr>
          <a:r>
            <a:rPr lang="en-AU" sz="1200">
              <a:latin typeface="Arial" panose="020B0604020202020204" pitchFamily="34" charset="0"/>
              <a:cs typeface="Arial" panose="020B0604020202020204" pitchFamily="34" charset="0"/>
            </a:rPr>
            <a:t>Maintaining policies and risk management strategies to prevent abuse, neglect and exploitation of people with disability </a:t>
          </a:r>
        </a:p>
        <a:p>
          <a:pPr algn="ctr">
            <a:lnSpc>
              <a:spcPct val="100000"/>
            </a:lnSpc>
            <a:spcBef>
              <a:spcPts val="600"/>
            </a:spcBef>
            <a:spcAft>
              <a:spcPts val="600"/>
            </a:spcAft>
          </a:pPr>
          <a:r>
            <a:rPr lang="en-AU" sz="1200">
              <a:latin typeface="Arial" panose="020B0604020202020204" pitchFamily="34" charset="0"/>
              <a:cs typeface="Arial" panose="020B0604020202020204" pitchFamily="34" charset="0"/>
            </a:rPr>
            <a:t>Contract management, service procurement, and review of financial statements relating to disabilities</a:t>
          </a:r>
        </a:p>
      </dgm:t>
    </dgm:pt>
    <dgm:pt modelId="{8B561424-DDFC-4DE3-9647-50611778385A}" type="parTrans" cxnId="{E2C60838-4F1E-41B6-BBD7-AAD07D909980}">
      <dgm:prSet/>
      <dgm:spPr/>
      <dgm:t>
        <a:bodyPr/>
        <a:lstStyle/>
        <a:p>
          <a:endParaRPr lang="en-AU"/>
        </a:p>
      </dgm:t>
    </dgm:pt>
    <dgm:pt modelId="{25C53A35-346C-4210-ABB3-59D64A31C1D1}" type="sibTrans" cxnId="{E2C60838-4F1E-41B6-BBD7-AAD07D909980}">
      <dgm:prSet/>
      <dgm:spPr/>
      <dgm:t>
        <a:bodyPr/>
        <a:lstStyle/>
        <a:p>
          <a:endParaRPr lang="en-AU"/>
        </a:p>
      </dgm:t>
    </dgm:pt>
    <dgm:pt modelId="{8E48A569-BA3D-4887-85BF-3A09D4F86703}">
      <dgm:prSet phldrT="[Text]" custT="1"/>
      <dgm:spPr/>
      <dgm:t>
        <a:bodyPr/>
        <a:lstStyle/>
        <a:p>
          <a:r>
            <a:rPr lang="en-US" sz="1600">
              <a:latin typeface="Arial" panose="020B0604020202020204" pitchFamily="34" charset="0"/>
              <a:cs typeface="Arial" panose="020B0604020202020204" pitchFamily="34" charset="0"/>
            </a:rPr>
            <a:t>NDIS Q&amp;S Commission’s Safeguard Functions </a:t>
          </a:r>
          <a:endParaRPr lang="en-AU" sz="1600">
            <a:latin typeface="Arial" panose="020B0604020202020204" pitchFamily="34" charset="0"/>
            <a:cs typeface="Arial" panose="020B0604020202020204" pitchFamily="34" charset="0"/>
          </a:endParaRPr>
        </a:p>
      </dgm:t>
    </dgm:pt>
    <dgm:pt modelId="{B154839B-40F1-460A-BF92-DB4EFBF71FF3}" type="parTrans" cxnId="{13E8712A-6F37-4AF3-94CB-F846B5DE8E61}">
      <dgm:prSet/>
      <dgm:spPr/>
      <dgm:t>
        <a:bodyPr/>
        <a:lstStyle/>
        <a:p>
          <a:endParaRPr lang="en-AU"/>
        </a:p>
      </dgm:t>
    </dgm:pt>
    <dgm:pt modelId="{FED34C19-03D2-4864-B1B7-C09E589F8C52}" type="sibTrans" cxnId="{13E8712A-6F37-4AF3-94CB-F846B5DE8E61}">
      <dgm:prSet/>
      <dgm:spPr/>
      <dgm:t>
        <a:bodyPr/>
        <a:lstStyle/>
        <a:p>
          <a:endParaRPr lang="en-AU"/>
        </a:p>
      </dgm:t>
    </dgm:pt>
    <dgm:pt modelId="{5C58E8B1-8A48-4960-80CA-8A965FA4E1F1}">
      <dgm:prSet phldrT="[Text]" custT="1"/>
      <dgm:spPr/>
      <dgm:t>
        <a:bodyPr/>
        <a:lstStyle/>
        <a:p>
          <a:pPr>
            <a:lnSpc>
              <a:spcPct val="100000"/>
            </a:lnSpc>
            <a:spcBef>
              <a:spcPts val="600"/>
            </a:spcBef>
            <a:spcAft>
              <a:spcPts val="600"/>
            </a:spcAft>
          </a:pPr>
          <a:r>
            <a:rPr lang="en-AU" sz="1100" baseline="0">
              <a:latin typeface="Arial" panose="020B0604020202020204" pitchFamily="34" charset="0"/>
              <a:cs typeface="Arial" panose="020B0604020202020204" pitchFamily="34" charset="0"/>
            </a:rPr>
            <a:t>Monitoring NDIS registered providers for compliance with the conditions of their registration</a:t>
          </a:r>
        </a:p>
        <a:p>
          <a:pPr>
            <a:lnSpc>
              <a:spcPct val="100000"/>
            </a:lnSpc>
            <a:spcBef>
              <a:spcPts val="600"/>
            </a:spcBef>
            <a:spcAft>
              <a:spcPts val="600"/>
            </a:spcAft>
          </a:pPr>
          <a:r>
            <a:rPr lang="en-AU" sz="1100" baseline="0">
              <a:latin typeface="Arial" panose="020B0604020202020204" pitchFamily="34" charset="0"/>
              <a:cs typeface="Arial" panose="020B0604020202020204" pitchFamily="34" charset="0"/>
            </a:rPr>
            <a:t>Monitoring compliance against the NDIS Code of Conduct and NDIS Practice Standards, including undertaking investigations and taking enforcement action </a:t>
          </a:r>
        </a:p>
        <a:p>
          <a:pPr>
            <a:lnSpc>
              <a:spcPct val="100000"/>
            </a:lnSpc>
            <a:spcBef>
              <a:spcPts val="600"/>
            </a:spcBef>
            <a:spcAft>
              <a:spcPts val="600"/>
            </a:spcAft>
          </a:pPr>
          <a:r>
            <a:rPr lang="en-AU" sz="1100" baseline="0">
              <a:latin typeface="Arial" panose="020B0604020202020204" pitchFamily="34" charset="0"/>
              <a:cs typeface="Arial" panose="020B0604020202020204" pitchFamily="34" charset="0"/>
            </a:rPr>
            <a:t>Monitoring the use of restrictive practices within the NDIS </a:t>
          </a:r>
        </a:p>
        <a:p>
          <a:pPr>
            <a:lnSpc>
              <a:spcPct val="100000"/>
            </a:lnSpc>
            <a:spcBef>
              <a:spcPts val="600"/>
            </a:spcBef>
            <a:spcAft>
              <a:spcPts val="600"/>
            </a:spcAft>
          </a:pPr>
          <a:r>
            <a:rPr lang="en-AU" sz="1100" baseline="0">
              <a:latin typeface="Arial" panose="020B0604020202020204" pitchFamily="34" charset="0"/>
              <a:cs typeface="Arial" panose="020B0604020202020204" pitchFamily="34" charset="0"/>
            </a:rPr>
            <a:t>Investigating any matters relating to registered and unregistered providers and workers.</a:t>
          </a:r>
        </a:p>
      </dgm:t>
    </dgm:pt>
    <dgm:pt modelId="{37C2DAD8-DE09-4B17-912D-233653741660}" type="parTrans" cxnId="{AD014A3D-B8A6-4F77-A7A2-4DDA0808D5BF}">
      <dgm:prSet/>
      <dgm:spPr/>
      <dgm:t>
        <a:bodyPr/>
        <a:lstStyle/>
        <a:p>
          <a:endParaRPr lang="en-AU"/>
        </a:p>
      </dgm:t>
    </dgm:pt>
    <dgm:pt modelId="{CCC6823B-601F-42EE-AD1C-5F4B689A1181}" type="sibTrans" cxnId="{AD014A3D-B8A6-4F77-A7A2-4DDA0808D5BF}">
      <dgm:prSet/>
      <dgm:spPr/>
      <dgm:t>
        <a:bodyPr/>
        <a:lstStyle/>
        <a:p>
          <a:endParaRPr lang="en-AU"/>
        </a:p>
      </dgm:t>
    </dgm:pt>
    <dgm:pt modelId="{627DA81A-F4A0-488A-A44B-957655F89D8B}" type="pres">
      <dgm:prSet presAssocID="{5B3DB375-4268-4BC2-B345-6334284FC78F}" presName="theList" presStyleCnt="0">
        <dgm:presLayoutVars>
          <dgm:dir/>
          <dgm:animLvl val="lvl"/>
          <dgm:resizeHandles val="exact"/>
        </dgm:presLayoutVars>
      </dgm:prSet>
      <dgm:spPr/>
    </dgm:pt>
    <dgm:pt modelId="{AD12C86C-2D41-4562-879A-45BE81F6783C}" type="pres">
      <dgm:prSet presAssocID="{4658901E-AE0E-4667-B9E6-73ED824DD2D6}" presName="compNode" presStyleCnt="0"/>
      <dgm:spPr/>
    </dgm:pt>
    <dgm:pt modelId="{8DEA1518-B6F2-421C-A3E4-7484906095AE}" type="pres">
      <dgm:prSet presAssocID="{4658901E-AE0E-4667-B9E6-73ED824DD2D6}" presName="aNode" presStyleLbl="bgShp" presStyleIdx="0" presStyleCnt="2" custScaleY="91946"/>
      <dgm:spPr/>
    </dgm:pt>
    <dgm:pt modelId="{EE89C252-D58D-4959-8ACF-76894FD20CFC}" type="pres">
      <dgm:prSet presAssocID="{4658901E-AE0E-4667-B9E6-73ED824DD2D6}" presName="textNode" presStyleLbl="bgShp" presStyleIdx="0" presStyleCnt="2"/>
      <dgm:spPr/>
    </dgm:pt>
    <dgm:pt modelId="{030610BF-52D6-4DC7-AE17-B92EC70A913E}" type="pres">
      <dgm:prSet presAssocID="{4658901E-AE0E-4667-B9E6-73ED824DD2D6}" presName="compChildNode" presStyleCnt="0"/>
      <dgm:spPr/>
    </dgm:pt>
    <dgm:pt modelId="{A1E1B62D-08E6-48E2-BEC9-FFA3D285DEE0}" type="pres">
      <dgm:prSet presAssocID="{4658901E-AE0E-4667-B9E6-73ED824DD2D6}" presName="theInnerList" presStyleCnt="0"/>
      <dgm:spPr/>
    </dgm:pt>
    <dgm:pt modelId="{341818E9-FCD9-413A-822A-8D94A6BE9DC0}" type="pres">
      <dgm:prSet presAssocID="{C108DAE8-C67C-4482-B535-8E959CFC2F67}" presName="childNode" presStyleLbl="node1" presStyleIdx="0" presStyleCnt="2" custScaleY="100177" custLinFactNeighborX="-264" custLinFactNeighborY="-4088">
        <dgm:presLayoutVars>
          <dgm:bulletEnabled val="1"/>
        </dgm:presLayoutVars>
      </dgm:prSet>
      <dgm:spPr/>
    </dgm:pt>
    <dgm:pt modelId="{F27C10A6-F563-45DA-86C5-E364F03C41C7}" type="pres">
      <dgm:prSet presAssocID="{4658901E-AE0E-4667-B9E6-73ED824DD2D6}" presName="aSpace" presStyleCnt="0"/>
      <dgm:spPr/>
    </dgm:pt>
    <dgm:pt modelId="{7F1EF94C-49DB-45C9-AFEB-B1C77923AAA7}" type="pres">
      <dgm:prSet presAssocID="{8E48A569-BA3D-4887-85BF-3A09D4F86703}" presName="compNode" presStyleCnt="0"/>
      <dgm:spPr/>
    </dgm:pt>
    <dgm:pt modelId="{665A4D8F-1336-4E81-AB8D-C4211198346B}" type="pres">
      <dgm:prSet presAssocID="{8E48A569-BA3D-4887-85BF-3A09D4F86703}" presName="aNode" presStyleLbl="bgShp" presStyleIdx="1" presStyleCnt="2" custScaleY="92237"/>
      <dgm:spPr/>
    </dgm:pt>
    <dgm:pt modelId="{5346B948-06DA-4BFA-BB11-3B7F84A89028}" type="pres">
      <dgm:prSet presAssocID="{8E48A569-BA3D-4887-85BF-3A09D4F86703}" presName="textNode" presStyleLbl="bgShp" presStyleIdx="1" presStyleCnt="2"/>
      <dgm:spPr/>
    </dgm:pt>
    <dgm:pt modelId="{F2B7F6B0-AD07-4812-AAFA-FA27EEEEBF48}" type="pres">
      <dgm:prSet presAssocID="{8E48A569-BA3D-4887-85BF-3A09D4F86703}" presName="compChildNode" presStyleCnt="0"/>
      <dgm:spPr/>
    </dgm:pt>
    <dgm:pt modelId="{B7A564EF-4680-4CAC-BE29-B8A8C73E5BF0}" type="pres">
      <dgm:prSet presAssocID="{8E48A569-BA3D-4887-85BF-3A09D4F86703}" presName="theInnerList" presStyleCnt="0"/>
      <dgm:spPr/>
    </dgm:pt>
    <dgm:pt modelId="{0F9F8378-7EDD-455B-AB67-CB8B1CF3B743}" type="pres">
      <dgm:prSet presAssocID="{5C58E8B1-8A48-4960-80CA-8A965FA4E1F1}" presName="childNode" presStyleLbl="node1" presStyleIdx="1" presStyleCnt="2" custScaleY="102728" custLinFactNeighborX="1845" custLinFactNeighborY="-5629">
        <dgm:presLayoutVars>
          <dgm:bulletEnabled val="1"/>
        </dgm:presLayoutVars>
      </dgm:prSet>
      <dgm:spPr/>
    </dgm:pt>
  </dgm:ptLst>
  <dgm:cxnLst>
    <dgm:cxn modelId="{2B17E617-449E-44E8-B0B1-E5457D33311C}" type="presOf" srcId="{4658901E-AE0E-4667-B9E6-73ED824DD2D6}" destId="{8DEA1518-B6F2-421C-A3E4-7484906095AE}" srcOrd="0" destOrd="0" presId="urn:microsoft.com/office/officeart/2005/8/layout/lProcess2"/>
    <dgm:cxn modelId="{13E8712A-6F37-4AF3-94CB-F846B5DE8E61}" srcId="{5B3DB375-4268-4BC2-B345-6334284FC78F}" destId="{8E48A569-BA3D-4887-85BF-3A09D4F86703}" srcOrd="1" destOrd="0" parTransId="{B154839B-40F1-460A-BF92-DB4EFBF71FF3}" sibTransId="{FED34C19-03D2-4864-B1B7-C09E589F8C52}"/>
    <dgm:cxn modelId="{615DB332-04B1-4ABD-AD4F-8196D4E0153A}" type="presOf" srcId="{8E48A569-BA3D-4887-85BF-3A09D4F86703}" destId="{665A4D8F-1336-4E81-AB8D-C4211198346B}" srcOrd="0" destOrd="0" presId="urn:microsoft.com/office/officeart/2005/8/layout/lProcess2"/>
    <dgm:cxn modelId="{E2C60838-4F1E-41B6-BBD7-AAD07D909980}" srcId="{4658901E-AE0E-4667-B9E6-73ED824DD2D6}" destId="{C108DAE8-C67C-4482-B535-8E959CFC2F67}" srcOrd="0" destOrd="0" parTransId="{8B561424-DDFC-4DE3-9647-50611778385A}" sibTransId="{25C53A35-346C-4210-ABB3-59D64A31C1D1}"/>
    <dgm:cxn modelId="{AD014A3D-B8A6-4F77-A7A2-4DDA0808D5BF}" srcId="{8E48A569-BA3D-4887-85BF-3A09D4F86703}" destId="{5C58E8B1-8A48-4960-80CA-8A965FA4E1F1}" srcOrd="0" destOrd="0" parTransId="{37C2DAD8-DE09-4B17-912D-233653741660}" sibTransId="{CCC6823B-601F-42EE-AD1C-5F4B689A1181}"/>
    <dgm:cxn modelId="{BF221F71-34BA-4654-A025-6E68F71EC728}" type="presOf" srcId="{C108DAE8-C67C-4482-B535-8E959CFC2F67}" destId="{341818E9-FCD9-413A-822A-8D94A6BE9DC0}" srcOrd="0" destOrd="0" presId="urn:microsoft.com/office/officeart/2005/8/layout/lProcess2"/>
    <dgm:cxn modelId="{D9242B7A-6965-45CF-92C8-43C1CEA96367}" type="presOf" srcId="{5C58E8B1-8A48-4960-80CA-8A965FA4E1F1}" destId="{0F9F8378-7EDD-455B-AB67-CB8B1CF3B743}" srcOrd="0" destOrd="0" presId="urn:microsoft.com/office/officeart/2005/8/layout/lProcess2"/>
    <dgm:cxn modelId="{99DC9A95-5498-428C-A432-E1ED101DA166}" type="presOf" srcId="{4658901E-AE0E-4667-B9E6-73ED824DD2D6}" destId="{EE89C252-D58D-4959-8ACF-76894FD20CFC}" srcOrd="1" destOrd="0" presId="urn:microsoft.com/office/officeart/2005/8/layout/lProcess2"/>
    <dgm:cxn modelId="{99259CAE-9480-46BF-911A-46F006568490}" type="presOf" srcId="{5B3DB375-4268-4BC2-B345-6334284FC78F}" destId="{627DA81A-F4A0-488A-A44B-957655F89D8B}" srcOrd="0" destOrd="0" presId="urn:microsoft.com/office/officeart/2005/8/layout/lProcess2"/>
    <dgm:cxn modelId="{6522E1BC-16F7-4403-B886-3CB6B209F356}" srcId="{5B3DB375-4268-4BC2-B345-6334284FC78F}" destId="{4658901E-AE0E-4667-B9E6-73ED824DD2D6}" srcOrd="0" destOrd="0" parTransId="{EA252776-36BC-4637-992D-65E8EC07A8B3}" sibTransId="{13910490-C3CC-4E05-847D-8BA35FD46C18}"/>
    <dgm:cxn modelId="{A70338FC-FD2B-4F47-9843-69F1F3F578BD}" type="presOf" srcId="{8E48A569-BA3D-4887-85BF-3A09D4F86703}" destId="{5346B948-06DA-4BFA-BB11-3B7F84A89028}" srcOrd="1" destOrd="0" presId="urn:microsoft.com/office/officeart/2005/8/layout/lProcess2"/>
    <dgm:cxn modelId="{63F90B87-7EDF-4008-8602-F2C059CA4F2B}" type="presParOf" srcId="{627DA81A-F4A0-488A-A44B-957655F89D8B}" destId="{AD12C86C-2D41-4562-879A-45BE81F6783C}" srcOrd="0" destOrd="0" presId="urn:microsoft.com/office/officeart/2005/8/layout/lProcess2"/>
    <dgm:cxn modelId="{92F0027D-34FA-4A25-93CE-38B96CC80854}" type="presParOf" srcId="{AD12C86C-2D41-4562-879A-45BE81F6783C}" destId="{8DEA1518-B6F2-421C-A3E4-7484906095AE}" srcOrd="0" destOrd="0" presId="urn:microsoft.com/office/officeart/2005/8/layout/lProcess2"/>
    <dgm:cxn modelId="{4684C075-23B5-42DE-A5BC-C52B190F1BF3}" type="presParOf" srcId="{AD12C86C-2D41-4562-879A-45BE81F6783C}" destId="{EE89C252-D58D-4959-8ACF-76894FD20CFC}" srcOrd="1" destOrd="0" presId="urn:microsoft.com/office/officeart/2005/8/layout/lProcess2"/>
    <dgm:cxn modelId="{58F4191B-A690-4361-8541-712305F5180C}" type="presParOf" srcId="{AD12C86C-2D41-4562-879A-45BE81F6783C}" destId="{030610BF-52D6-4DC7-AE17-B92EC70A913E}" srcOrd="2" destOrd="0" presId="urn:microsoft.com/office/officeart/2005/8/layout/lProcess2"/>
    <dgm:cxn modelId="{D368AC76-22F3-4D10-AA1E-6293CCF6CA4E}" type="presParOf" srcId="{030610BF-52D6-4DC7-AE17-B92EC70A913E}" destId="{A1E1B62D-08E6-48E2-BEC9-FFA3D285DEE0}" srcOrd="0" destOrd="0" presId="urn:microsoft.com/office/officeart/2005/8/layout/lProcess2"/>
    <dgm:cxn modelId="{7FF9E71D-CE37-4636-A202-57DC8C968D7C}" type="presParOf" srcId="{A1E1B62D-08E6-48E2-BEC9-FFA3D285DEE0}" destId="{341818E9-FCD9-413A-822A-8D94A6BE9DC0}" srcOrd="0" destOrd="0" presId="urn:microsoft.com/office/officeart/2005/8/layout/lProcess2"/>
    <dgm:cxn modelId="{CE033E5F-45B0-4C64-B00E-CA23E4D8A55C}" type="presParOf" srcId="{627DA81A-F4A0-488A-A44B-957655F89D8B}" destId="{F27C10A6-F563-45DA-86C5-E364F03C41C7}" srcOrd="1" destOrd="0" presId="urn:microsoft.com/office/officeart/2005/8/layout/lProcess2"/>
    <dgm:cxn modelId="{B401EEE3-B24F-4D50-A9C7-08D53DE272D3}" type="presParOf" srcId="{627DA81A-F4A0-488A-A44B-957655F89D8B}" destId="{7F1EF94C-49DB-45C9-AFEB-B1C77923AAA7}" srcOrd="2" destOrd="0" presId="urn:microsoft.com/office/officeart/2005/8/layout/lProcess2"/>
    <dgm:cxn modelId="{72E063FF-CAAF-4C75-A34B-D04BAFA82B3A}" type="presParOf" srcId="{7F1EF94C-49DB-45C9-AFEB-B1C77923AAA7}" destId="{665A4D8F-1336-4E81-AB8D-C4211198346B}" srcOrd="0" destOrd="0" presId="urn:microsoft.com/office/officeart/2005/8/layout/lProcess2"/>
    <dgm:cxn modelId="{A867AD79-6223-487B-B171-62D5FF6F97D6}" type="presParOf" srcId="{7F1EF94C-49DB-45C9-AFEB-B1C77923AAA7}" destId="{5346B948-06DA-4BFA-BB11-3B7F84A89028}" srcOrd="1" destOrd="0" presId="urn:microsoft.com/office/officeart/2005/8/layout/lProcess2"/>
    <dgm:cxn modelId="{0448C4CE-07E2-42B1-95C8-FF17F7DDC3DD}" type="presParOf" srcId="{7F1EF94C-49DB-45C9-AFEB-B1C77923AAA7}" destId="{F2B7F6B0-AD07-4812-AAFA-FA27EEEEBF48}" srcOrd="2" destOrd="0" presId="urn:microsoft.com/office/officeart/2005/8/layout/lProcess2"/>
    <dgm:cxn modelId="{3EEB986A-9111-42F5-BA9D-FD6C0DA01B04}" type="presParOf" srcId="{F2B7F6B0-AD07-4812-AAFA-FA27EEEEBF48}" destId="{B7A564EF-4680-4CAC-BE29-B8A8C73E5BF0}" srcOrd="0" destOrd="0" presId="urn:microsoft.com/office/officeart/2005/8/layout/lProcess2"/>
    <dgm:cxn modelId="{07611566-55BE-46D7-8474-888E4F97D108}" type="presParOf" srcId="{B7A564EF-4680-4CAC-BE29-B8A8C73E5BF0}" destId="{0F9F8378-7EDD-455B-AB67-CB8B1CF3B743}" srcOrd="0"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1F6996-4307-43AF-833A-B175DA28B993}" type="doc">
      <dgm:prSet loTypeId="urn:microsoft.com/office/officeart/2005/8/layout/cycle8#1" loCatId="cycle" qsTypeId="urn:microsoft.com/office/officeart/2005/8/quickstyle/simple2" qsCatId="simple" csTypeId="urn:microsoft.com/office/officeart/2005/8/colors/colorful4" csCatId="colorful" phldr="1"/>
      <dgm:spPr/>
      <dgm:t>
        <a:bodyPr/>
        <a:lstStyle/>
        <a:p>
          <a:endParaRPr lang="en-AU"/>
        </a:p>
      </dgm:t>
    </dgm:pt>
    <dgm:pt modelId="{5EE15946-852F-4139-B246-A23450E83199}">
      <dgm:prSet phldrT="[Text]"/>
      <dgm:spPr/>
      <dgm:t>
        <a:bodyPr/>
        <a:lstStyle/>
        <a:p>
          <a:pPr algn="ctr"/>
          <a:r>
            <a:rPr lang="en-AU"/>
            <a:t>Enforce</a:t>
          </a:r>
        </a:p>
      </dgm:t>
    </dgm:pt>
    <dgm:pt modelId="{F70F78DD-604C-485D-8FAC-9BE8B6954DC6}" type="parTrans" cxnId="{044669CE-F336-443D-9F76-C2DBAD16B2A5}">
      <dgm:prSet/>
      <dgm:spPr/>
      <dgm:t>
        <a:bodyPr/>
        <a:lstStyle/>
        <a:p>
          <a:pPr algn="ctr"/>
          <a:endParaRPr lang="en-AU"/>
        </a:p>
      </dgm:t>
    </dgm:pt>
    <dgm:pt modelId="{E48F0AC0-2E4D-4E1B-B6A0-9E0B35F7C7B3}" type="sibTrans" cxnId="{044669CE-F336-443D-9F76-C2DBAD16B2A5}">
      <dgm:prSet/>
      <dgm:spPr/>
      <dgm:t>
        <a:bodyPr/>
        <a:lstStyle/>
        <a:p>
          <a:pPr algn="ctr"/>
          <a:endParaRPr lang="en-AU"/>
        </a:p>
      </dgm:t>
    </dgm:pt>
    <dgm:pt modelId="{6F37E01F-824C-47E6-BB59-63E061364283}">
      <dgm:prSet/>
      <dgm:spPr/>
      <dgm:t>
        <a:bodyPr/>
        <a:lstStyle/>
        <a:p>
          <a:pPr algn="ctr"/>
          <a:r>
            <a:rPr lang="en-AU"/>
            <a:t>Inform</a:t>
          </a:r>
        </a:p>
      </dgm:t>
    </dgm:pt>
    <dgm:pt modelId="{46B6F392-4614-4D6F-B612-5FAD8CE57AFF}" type="parTrans" cxnId="{AB41A14A-F300-4385-A4BA-5ACA477F710E}">
      <dgm:prSet/>
      <dgm:spPr/>
      <dgm:t>
        <a:bodyPr/>
        <a:lstStyle/>
        <a:p>
          <a:pPr algn="ctr"/>
          <a:endParaRPr lang="en-AU"/>
        </a:p>
      </dgm:t>
    </dgm:pt>
    <dgm:pt modelId="{30811730-D87D-4699-9582-6D1B54928E93}" type="sibTrans" cxnId="{AB41A14A-F300-4385-A4BA-5ACA477F710E}">
      <dgm:prSet/>
      <dgm:spPr/>
      <dgm:t>
        <a:bodyPr/>
        <a:lstStyle/>
        <a:p>
          <a:pPr algn="ctr"/>
          <a:endParaRPr lang="en-AU"/>
        </a:p>
      </dgm:t>
    </dgm:pt>
    <dgm:pt modelId="{9BF10E3B-3E0C-4C14-A79F-4C39AB98E7DE}">
      <dgm:prSet/>
      <dgm:spPr/>
      <dgm:t>
        <a:bodyPr/>
        <a:lstStyle/>
        <a:p>
          <a:pPr algn="ctr"/>
          <a:r>
            <a:rPr lang="en-AU"/>
            <a:t>Educate</a:t>
          </a:r>
        </a:p>
      </dgm:t>
    </dgm:pt>
    <dgm:pt modelId="{D1F50C4E-6BB7-43D6-B54F-2AB75DF8EE36}" type="parTrans" cxnId="{EB38D6BA-C9F7-4202-AE62-468BBDD242DE}">
      <dgm:prSet/>
      <dgm:spPr/>
      <dgm:t>
        <a:bodyPr/>
        <a:lstStyle/>
        <a:p>
          <a:pPr algn="ctr"/>
          <a:endParaRPr lang="en-AU"/>
        </a:p>
      </dgm:t>
    </dgm:pt>
    <dgm:pt modelId="{CE1478F3-20DB-4330-B2A2-5AD3DE5A5786}" type="sibTrans" cxnId="{EB38D6BA-C9F7-4202-AE62-468BBDD242DE}">
      <dgm:prSet/>
      <dgm:spPr/>
      <dgm:t>
        <a:bodyPr/>
        <a:lstStyle/>
        <a:p>
          <a:pPr algn="ctr"/>
          <a:endParaRPr lang="en-AU"/>
        </a:p>
      </dgm:t>
    </dgm:pt>
    <dgm:pt modelId="{06F9C362-823F-44DA-8D5B-FE60EDC4C9BC}">
      <dgm:prSet/>
      <dgm:spPr/>
      <dgm:t>
        <a:bodyPr/>
        <a:lstStyle/>
        <a:p>
          <a:pPr algn="ctr"/>
          <a:r>
            <a:rPr lang="en-AU"/>
            <a:t>Investigate</a:t>
          </a:r>
        </a:p>
      </dgm:t>
    </dgm:pt>
    <dgm:pt modelId="{2009689A-D9DF-45E0-9AD8-15ADF66E0D5F}" type="parTrans" cxnId="{F90A7DAE-BADD-4D0D-BC3C-582EA02F1F71}">
      <dgm:prSet/>
      <dgm:spPr/>
      <dgm:t>
        <a:bodyPr/>
        <a:lstStyle/>
        <a:p>
          <a:pPr algn="ctr"/>
          <a:endParaRPr lang="en-AU"/>
        </a:p>
      </dgm:t>
    </dgm:pt>
    <dgm:pt modelId="{04E50DAD-74C9-489A-AE42-C765D34EA8EC}" type="sibTrans" cxnId="{F90A7DAE-BADD-4D0D-BC3C-582EA02F1F71}">
      <dgm:prSet/>
      <dgm:spPr/>
      <dgm:t>
        <a:bodyPr/>
        <a:lstStyle/>
        <a:p>
          <a:pPr algn="ctr"/>
          <a:endParaRPr lang="en-AU"/>
        </a:p>
      </dgm:t>
    </dgm:pt>
    <dgm:pt modelId="{6C323DDF-CBBE-4C2A-8696-C7665EEDC95C}" type="pres">
      <dgm:prSet presAssocID="{AF1F6996-4307-43AF-833A-B175DA28B993}" presName="compositeShape" presStyleCnt="0">
        <dgm:presLayoutVars>
          <dgm:chMax val="7"/>
          <dgm:dir/>
          <dgm:resizeHandles val="exact"/>
        </dgm:presLayoutVars>
      </dgm:prSet>
      <dgm:spPr/>
    </dgm:pt>
    <dgm:pt modelId="{20026BAC-B69C-4966-B423-3D6885789E52}" type="pres">
      <dgm:prSet presAssocID="{AF1F6996-4307-43AF-833A-B175DA28B993}" presName="wedge1" presStyleLbl="node1" presStyleIdx="0" presStyleCnt="4"/>
      <dgm:spPr/>
    </dgm:pt>
    <dgm:pt modelId="{EB31D60F-4E8F-4CA6-9B6D-B07072A6A6F5}" type="pres">
      <dgm:prSet presAssocID="{AF1F6996-4307-43AF-833A-B175DA28B993}" presName="dummy1a" presStyleCnt="0"/>
      <dgm:spPr/>
    </dgm:pt>
    <dgm:pt modelId="{CDB9DC61-1498-4429-8D52-31DF5C2CB701}" type="pres">
      <dgm:prSet presAssocID="{AF1F6996-4307-43AF-833A-B175DA28B993}" presName="dummy1b" presStyleCnt="0"/>
      <dgm:spPr/>
    </dgm:pt>
    <dgm:pt modelId="{3D149AC7-379B-459D-BF1B-FC0E9151EF98}" type="pres">
      <dgm:prSet presAssocID="{AF1F6996-4307-43AF-833A-B175DA28B993}" presName="wedge1Tx" presStyleLbl="node1" presStyleIdx="0" presStyleCnt="4">
        <dgm:presLayoutVars>
          <dgm:chMax val="0"/>
          <dgm:chPref val="0"/>
          <dgm:bulletEnabled val="1"/>
        </dgm:presLayoutVars>
      </dgm:prSet>
      <dgm:spPr/>
    </dgm:pt>
    <dgm:pt modelId="{D9B0F201-3973-45E6-BF66-E159F27DFB78}" type="pres">
      <dgm:prSet presAssocID="{AF1F6996-4307-43AF-833A-B175DA28B993}" presName="wedge2" presStyleLbl="node1" presStyleIdx="1" presStyleCnt="4"/>
      <dgm:spPr/>
    </dgm:pt>
    <dgm:pt modelId="{CB267334-13E2-4D27-8EEA-94BD51888A2F}" type="pres">
      <dgm:prSet presAssocID="{AF1F6996-4307-43AF-833A-B175DA28B993}" presName="dummy2a" presStyleCnt="0"/>
      <dgm:spPr/>
    </dgm:pt>
    <dgm:pt modelId="{B9C6DBE3-3EDB-4A70-B90C-E2565B1CD505}" type="pres">
      <dgm:prSet presAssocID="{AF1F6996-4307-43AF-833A-B175DA28B993}" presName="dummy2b" presStyleCnt="0"/>
      <dgm:spPr/>
    </dgm:pt>
    <dgm:pt modelId="{9C078E88-330A-4EDD-9C00-6A075E3E9F39}" type="pres">
      <dgm:prSet presAssocID="{AF1F6996-4307-43AF-833A-B175DA28B993}" presName="wedge2Tx" presStyleLbl="node1" presStyleIdx="1" presStyleCnt="4">
        <dgm:presLayoutVars>
          <dgm:chMax val="0"/>
          <dgm:chPref val="0"/>
          <dgm:bulletEnabled val="1"/>
        </dgm:presLayoutVars>
      </dgm:prSet>
      <dgm:spPr/>
    </dgm:pt>
    <dgm:pt modelId="{329B4A43-7843-40D3-8D24-8443EF6A2633}" type="pres">
      <dgm:prSet presAssocID="{AF1F6996-4307-43AF-833A-B175DA28B993}" presName="wedge3" presStyleLbl="node1" presStyleIdx="2" presStyleCnt="4"/>
      <dgm:spPr/>
    </dgm:pt>
    <dgm:pt modelId="{88B9A127-3969-4D6A-9226-2142601266FF}" type="pres">
      <dgm:prSet presAssocID="{AF1F6996-4307-43AF-833A-B175DA28B993}" presName="dummy3a" presStyleCnt="0"/>
      <dgm:spPr/>
    </dgm:pt>
    <dgm:pt modelId="{4968E896-6259-4F1F-B9F1-0CC7F9EEBE42}" type="pres">
      <dgm:prSet presAssocID="{AF1F6996-4307-43AF-833A-B175DA28B993}" presName="dummy3b" presStyleCnt="0"/>
      <dgm:spPr/>
    </dgm:pt>
    <dgm:pt modelId="{B0AA2FE7-3C33-4623-A61D-348A1C5375B6}" type="pres">
      <dgm:prSet presAssocID="{AF1F6996-4307-43AF-833A-B175DA28B993}" presName="wedge3Tx" presStyleLbl="node1" presStyleIdx="2" presStyleCnt="4">
        <dgm:presLayoutVars>
          <dgm:chMax val="0"/>
          <dgm:chPref val="0"/>
          <dgm:bulletEnabled val="1"/>
        </dgm:presLayoutVars>
      </dgm:prSet>
      <dgm:spPr/>
    </dgm:pt>
    <dgm:pt modelId="{B1B26A0C-7366-43D8-A66B-EAA0AF9B6A9B}" type="pres">
      <dgm:prSet presAssocID="{AF1F6996-4307-43AF-833A-B175DA28B993}" presName="wedge4" presStyleLbl="node1" presStyleIdx="3" presStyleCnt="4"/>
      <dgm:spPr/>
    </dgm:pt>
    <dgm:pt modelId="{A85E49AE-D270-42BD-8B99-DA2958DB22F1}" type="pres">
      <dgm:prSet presAssocID="{AF1F6996-4307-43AF-833A-B175DA28B993}" presName="dummy4a" presStyleCnt="0"/>
      <dgm:spPr/>
    </dgm:pt>
    <dgm:pt modelId="{830B8106-BE70-44F1-A884-08E743B05D64}" type="pres">
      <dgm:prSet presAssocID="{AF1F6996-4307-43AF-833A-B175DA28B993}" presName="dummy4b" presStyleCnt="0"/>
      <dgm:spPr/>
    </dgm:pt>
    <dgm:pt modelId="{87A126A7-B069-4F1A-9963-ACA5054ED47E}" type="pres">
      <dgm:prSet presAssocID="{AF1F6996-4307-43AF-833A-B175DA28B993}" presName="wedge4Tx" presStyleLbl="node1" presStyleIdx="3" presStyleCnt="4">
        <dgm:presLayoutVars>
          <dgm:chMax val="0"/>
          <dgm:chPref val="0"/>
          <dgm:bulletEnabled val="1"/>
        </dgm:presLayoutVars>
      </dgm:prSet>
      <dgm:spPr/>
    </dgm:pt>
    <dgm:pt modelId="{AB52542E-5CFE-4A24-A7A6-1591B174E5A7}" type="pres">
      <dgm:prSet presAssocID="{30811730-D87D-4699-9582-6D1B54928E93}" presName="arrowWedge1" presStyleLbl="fgSibTrans2D1" presStyleIdx="0" presStyleCnt="4"/>
      <dgm:spPr/>
    </dgm:pt>
    <dgm:pt modelId="{F0C9657F-3CAA-4CF2-8FE4-8132AE5A3111}" type="pres">
      <dgm:prSet presAssocID="{CE1478F3-20DB-4330-B2A2-5AD3DE5A5786}" presName="arrowWedge2" presStyleLbl="fgSibTrans2D1" presStyleIdx="1" presStyleCnt="4"/>
      <dgm:spPr/>
    </dgm:pt>
    <dgm:pt modelId="{9C79847F-E865-4C8B-B503-9E65AE578B0D}" type="pres">
      <dgm:prSet presAssocID="{04E50DAD-74C9-489A-AE42-C765D34EA8EC}" presName="arrowWedge3" presStyleLbl="fgSibTrans2D1" presStyleIdx="2" presStyleCnt="4"/>
      <dgm:spPr/>
    </dgm:pt>
    <dgm:pt modelId="{FE2C8B61-1167-4AC4-8144-F7434C629A7E}" type="pres">
      <dgm:prSet presAssocID="{E48F0AC0-2E4D-4E1B-B6A0-9E0B35F7C7B3}" presName="arrowWedge4" presStyleLbl="fgSibTrans2D1" presStyleIdx="3" presStyleCnt="4"/>
      <dgm:spPr/>
    </dgm:pt>
  </dgm:ptLst>
  <dgm:cxnLst>
    <dgm:cxn modelId="{96CBD71A-54FB-4A0F-AE69-DE18A61945E1}" type="presOf" srcId="{9BF10E3B-3E0C-4C14-A79F-4C39AB98E7DE}" destId="{9C078E88-330A-4EDD-9C00-6A075E3E9F39}" srcOrd="1" destOrd="0" presId="urn:microsoft.com/office/officeart/2005/8/layout/cycle8#1"/>
    <dgm:cxn modelId="{66637F33-859E-4526-9123-69C60541051C}" type="presOf" srcId="{06F9C362-823F-44DA-8D5B-FE60EDC4C9BC}" destId="{B0AA2FE7-3C33-4623-A61D-348A1C5375B6}" srcOrd="1" destOrd="0" presId="urn:microsoft.com/office/officeart/2005/8/layout/cycle8#1"/>
    <dgm:cxn modelId="{3F102248-5DC6-41B1-9FB9-1481D5A1760B}" type="presOf" srcId="{AF1F6996-4307-43AF-833A-B175DA28B993}" destId="{6C323DDF-CBBE-4C2A-8696-C7665EEDC95C}" srcOrd="0" destOrd="0" presId="urn:microsoft.com/office/officeart/2005/8/layout/cycle8#1"/>
    <dgm:cxn modelId="{AB41A14A-F300-4385-A4BA-5ACA477F710E}" srcId="{AF1F6996-4307-43AF-833A-B175DA28B993}" destId="{6F37E01F-824C-47E6-BB59-63E061364283}" srcOrd="0" destOrd="0" parTransId="{46B6F392-4614-4D6F-B612-5FAD8CE57AFF}" sibTransId="{30811730-D87D-4699-9582-6D1B54928E93}"/>
    <dgm:cxn modelId="{E47A096F-DBA9-4496-A8A5-D8446C6D364E}" type="presOf" srcId="{5EE15946-852F-4139-B246-A23450E83199}" destId="{B1B26A0C-7366-43D8-A66B-EAA0AF9B6A9B}" srcOrd="0" destOrd="0" presId="urn:microsoft.com/office/officeart/2005/8/layout/cycle8#1"/>
    <dgm:cxn modelId="{E9E5127F-5769-44DF-9079-0B109881EC9B}" type="presOf" srcId="{9BF10E3B-3E0C-4C14-A79F-4C39AB98E7DE}" destId="{D9B0F201-3973-45E6-BF66-E159F27DFB78}" srcOrd="0" destOrd="0" presId="urn:microsoft.com/office/officeart/2005/8/layout/cycle8#1"/>
    <dgm:cxn modelId="{23E79A93-FAF6-4A5A-B65B-14EC29EC8521}" type="presOf" srcId="{6F37E01F-824C-47E6-BB59-63E061364283}" destId="{3D149AC7-379B-459D-BF1B-FC0E9151EF98}" srcOrd="1" destOrd="0" presId="urn:microsoft.com/office/officeart/2005/8/layout/cycle8#1"/>
    <dgm:cxn modelId="{F90A7DAE-BADD-4D0D-BC3C-582EA02F1F71}" srcId="{AF1F6996-4307-43AF-833A-B175DA28B993}" destId="{06F9C362-823F-44DA-8D5B-FE60EDC4C9BC}" srcOrd="2" destOrd="0" parTransId="{2009689A-D9DF-45E0-9AD8-15ADF66E0D5F}" sibTransId="{04E50DAD-74C9-489A-AE42-C765D34EA8EC}"/>
    <dgm:cxn modelId="{EB38D6BA-C9F7-4202-AE62-468BBDD242DE}" srcId="{AF1F6996-4307-43AF-833A-B175DA28B993}" destId="{9BF10E3B-3E0C-4C14-A79F-4C39AB98E7DE}" srcOrd="1" destOrd="0" parTransId="{D1F50C4E-6BB7-43D6-B54F-2AB75DF8EE36}" sibTransId="{CE1478F3-20DB-4330-B2A2-5AD3DE5A5786}"/>
    <dgm:cxn modelId="{044669CE-F336-443D-9F76-C2DBAD16B2A5}" srcId="{AF1F6996-4307-43AF-833A-B175DA28B993}" destId="{5EE15946-852F-4139-B246-A23450E83199}" srcOrd="3" destOrd="0" parTransId="{F70F78DD-604C-485D-8FAC-9BE8B6954DC6}" sibTransId="{E48F0AC0-2E4D-4E1B-B6A0-9E0B35F7C7B3}"/>
    <dgm:cxn modelId="{213E03E8-6B7C-4261-A004-BE488D8D739A}" type="presOf" srcId="{6F37E01F-824C-47E6-BB59-63E061364283}" destId="{20026BAC-B69C-4966-B423-3D6885789E52}" srcOrd="0" destOrd="0" presId="urn:microsoft.com/office/officeart/2005/8/layout/cycle8#1"/>
    <dgm:cxn modelId="{061D00EE-680A-402E-A881-8CCF26EEE258}" type="presOf" srcId="{5EE15946-852F-4139-B246-A23450E83199}" destId="{87A126A7-B069-4F1A-9963-ACA5054ED47E}" srcOrd="1" destOrd="0" presId="urn:microsoft.com/office/officeart/2005/8/layout/cycle8#1"/>
    <dgm:cxn modelId="{184C84FF-C5E1-4695-A287-49A0F6B71EA5}" type="presOf" srcId="{06F9C362-823F-44DA-8D5B-FE60EDC4C9BC}" destId="{329B4A43-7843-40D3-8D24-8443EF6A2633}" srcOrd="0" destOrd="0" presId="urn:microsoft.com/office/officeart/2005/8/layout/cycle8#1"/>
    <dgm:cxn modelId="{4E79172D-B0F2-4A16-A72A-1A0EB437E169}" type="presParOf" srcId="{6C323DDF-CBBE-4C2A-8696-C7665EEDC95C}" destId="{20026BAC-B69C-4966-B423-3D6885789E52}" srcOrd="0" destOrd="0" presId="urn:microsoft.com/office/officeart/2005/8/layout/cycle8#1"/>
    <dgm:cxn modelId="{642331B5-97AB-4CB9-A02C-D1F4D6091D7B}" type="presParOf" srcId="{6C323DDF-CBBE-4C2A-8696-C7665EEDC95C}" destId="{EB31D60F-4E8F-4CA6-9B6D-B07072A6A6F5}" srcOrd="1" destOrd="0" presId="urn:microsoft.com/office/officeart/2005/8/layout/cycle8#1"/>
    <dgm:cxn modelId="{3207354B-9376-4B17-A1EE-2AFEE47BCFF5}" type="presParOf" srcId="{6C323DDF-CBBE-4C2A-8696-C7665EEDC95C}" destId="{CDB9DC61-1498-4429-8D52-31DF5C2CB701}" srcOrd="2" destOrd="0" presId="urn:microsoft.com/office/officeart/2005/8/layout/cycle8#1"/>
    <dgm:cxn modelId="{D7A06871-C6F4-4934-AEC2-7AB0F371C5F2}" type="presParOf" srcId="{6C323DDF-CBBE-4C2A-8696-C7665EEDC95C}" destId="{3D149AC7-379B-459D-BF1B-FC0E9151EF98}" srcOrd="3" destOrd="0" presId="urn:microsoft.com/office/officeart/2005/8/layout/cycle8#1"/>
    <dgm:cxn modelId="{3501CE35-880E-4BBD-A49F-D0FBAEC39D8A}" type="presParOf" srcId="{6C323DDF-CBBE-4C2A-8696-C7665EEDC95C}" destId="{D9B0F201-3973-45E6-BF66-E159F27DFB78}" srcOrd="4" destOrd="0" presId="urn:microsoft.com/office/officeart/2005/8/layout/cycle8#1"/>
    <dgm:cxn modelId="{436AEE3C-B33C-4B3C-A71E-10FC216D7033}" type="presParOf" srcId="{6C323DDF-CBBE-4C2A-8696-C7665EEDC95C}" destId="{CB267334-13E2-4D27-8EEA-94BD51888A2F}" srcOrd="5" destOrd="0" presId="urn:microsoft.com/office/officeart/2005/8/layout/cycle8#1"/>
    <dgm:cxn modelId="{8CB4CFD9-0374-48FD-83A9-3423DA7C6B19}" type="presParOf" srcId="{6C323DDF-CBBE-4C2A-8696-C7665EEDC95C}" destId="{B9C6DBE3-3EDB-4A70-B90C-E2565B1CD505}" srcOrd="6" destOrd="0" presId="urn:microsoft.com/office/officeart/2005/8/layout/cycle8#1"/>
    <dgm:cxn modelId="{2D316BFB-D898-4AB4-81A8-43915F7DA6BA}" type="presParOf" srcId="{6C323DDF-CBBE-4C2A-8696-C7665EEDC95C}" destId="{9C078E88-330A-4EDD-9C00-6A075E3E9F39}" srcOrd="7" destOrd="0" presId="urn:microsoft.com/office/officeart/2005/8/layout/cycle8#1"/>
    <dgm:cxn modelId="{E4353370-7556-4A46-A8FF-C14CEC1CF7F8}" type="presParOf" srcId="{6C323DDF-CBBE-4C2A-8696-C7665EEDC95C}" destId="{329B4A43-7843-40D3-8D24-8443EF6A2633}" srcOrd="8" destOrd="0" presId="urn:microsoft.com/office/officeart/2005/8/layout/cycle8#1"/>
    <dgm:cxn modelId="{32303E75-0C6D-46B7-A8C9-CE51F7EE20EE}" type="presParOf" srcId="{6C323DDF-CBBE-4C2A-8696-C7665EEDC95C}" destId="{88B9A127-3969-4D6A-9226-2142601266FF}" srcOrd="9" destOrd="0" presId="urn:microsoft.com/office/officeart/2005/8/layout/cycle8#1"/>
    <dgm:cxn modelId="{43F53492-0990-49A3-BDAA-7C4AE4B5A207}" type="presParOf" srcId="{6C323DDF-CBBE-4C2A-8696-C7665EEDC95C}" destId="{4968E896-6259-4F1F-B9F1-0CC7F9EEBE42}" srcOrd="10" destOrd="0" presId="urn:microsoft.com/office/officeart/2005/8/layout/cycle8#1"/>
    <dgm:cxn modelId="{34B39275-4B08-4BC4-8F01-D9455E80CD43}" type="presParOf" srcId="{6C323DDF-CBBE-4C2A-8696-C7665EEDC95C}" destId="{B0AA2FE7-3C33-4623-A61D-348A1C5375B6}" srcOrd="11" destOrd="0" presId="urn:microsoft.com/office/officeart/2005/8/layout/cycle8#1"/>
    <dgm:cxn modelId="{76670FDA-45B7-4AE6-9E59-085200C7912F}" type="presParOf" srcId="{6C323DDF-CBBE-4C2A-8696-C7665EEDC95C}" destId="{B1B26A0C-7366-43D8-A66B-EAA0AF9B6A9B}" srcOrd="12" destOrd="0" presId="urn:microsoft.com/office/officeart/2005/8/layout/cycle8#1"/>
    <dgm:cxn modelId="{033B20B8-61A0-41B3-A980-0BBFAEC184F2}" type="presParOf" srcId="{6C323DDF-CBBE-4C2A-8696-C7665EEDC95C}" destId="{A85E49AE-D270-42BD-8B99-DA2958DB22F1}" srcOrd="13" destOrd="0" presId="urn:microsoft.com/office/officeart/2005/8/layout/cycle8#1"/>
    <dgm:cxn modelId="{F7E09D82-8340-4AB4-836C-600B14CE68AF}" type="presParOf" srcId="{6C323DDF-CBBE-4C2A-8696-C7665EEDC95C}" destId="{830B8106-BE70-44F1-A884-08E743B05D64}" srcOrd="14" destOrd="0" presId="urn:microsoft.com/office/officeart/2005/8/layout/cycle8#1"/>
    <dgm:cxn modelId="{3699A7B4-7CB7-4EE6-8C46-993FD4EDBA0C}" type="presParOf" srcId="{6C323DDF-CBBE-4C2A-8696-C7665EEDC95C}" destId="{87A126A7-B069-4F1A-9963-ACA5054ED47E}" srcOrd="15" destOrd="0" presId="urn:microsoft.com/office/officeart/2005/8/layout/cycle8#1"/>
    <dgm:cxn modelId="{3805542E-01F7-4F98-9F56-ACE308CF93DB}" type="presParOf" srcId="{6C323DDF-CBBE-4C2A-8696-C7665EEDC95C}" destId="{AB52542E-5CFE-4A24-A7A6-1591B174E5A7}" srcOrd="16" destOrd="0" presId="urn:microsoft.com/office/officeart/2005/8/layout/cycle8#1"/>
    <dgm:cxn modelId="{EA60A831-8CF3-4CB8-A724-1068D9866C15}" type="presParOf" srcId="{6C323DDF-CBBE-4C2A-8696-C7665EEDC95C}" destId="{F0C9657F-3CAA-4CF2-8FE4-8132AE5A3111}" srcOrd="17" destOrd="0" presId="urn:microsoft.com/office/officeart/2005/8/layout/cycle8#1"/>
    <dgm:cxn modelId="{7B90B59E-98C7-47E1-A775-B7F2C63C2AD7}" type="presParOf" srcId="{6C323DDF-CBBE-4C2A-8696-C7665EEDC95C}" destId="{9C79847F-E865-4C8B-B503-9E65AE578B0D}" srcOrd="18" destOrd="0" presId="urn:microsoft.com/office/officeart/2005/8/layout/cycle8#1"/>
    <dgm:cxn modelId="{6297B809-2F8B-44D1-BD30-98AF6CC95AB4}" type="presParOf" srcId="{6C323DDF-CBBE-4C2A-8696-C7665EEDC95C}" destId="{FE2C8B61-1167-4AC4-8144-F7434C629A7E}" srcOrd="19" destOrd="0" presId="urn:microsoft.com/office/officeart/2005/8/layout/cycle8#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A1518-B6F2-421C-A3E4-7484906095AE}">
      <dsp:nvSpPr>
        <dsp:cNvPr id="0" name=""/>
        <dsp:cNvSpPr/>
      </dsp:nvSpPr>
      <dsp:spPr>
        <a:xfrm>
          <a:off x="3130" y="157264"/>
          <a:ext cx="3011320" cy="3590721"/>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latin typeface="Arial" panose="020B0604020202020204" pitchFamily="34" charset="0"/>
              <a:cs typeface="Arial" panose="020B0604020202020204" pitchFamily="34" charset="0"/>
            </a:rPr>
            <a:t>Disability Services'     S</a:t>
          </a:r>
          <a:r>
            <a:rPr lang="en-US" sz="1600" kern="1200">
              <a:latin typeface="Arial" panose="020B0604020202020204" pitchFamily="34" charset="0"/>
              <a:cs typeface="Arial" panose="020B0604020202020204" pitchFamily="34" charset="0"/>
            </a:rPr>
            <a:t>afeguard F</a:t>
          </a:r>
          <a:r>
            <a:rPr lang="en-AU" sz="1600" kern="1200">
              <a:latin typeface="Arial" panose="020B0604020202020204" pitchFamily="34" charset="0"/>
              <a:cs typeface="Arial" panose="020B0604020202020204" pitchFamily="34" charset="0"/>
            </a:rPr>
            <a:t>unctions </a:t>
          </a:r>
        </a:p>
      </dsp:txBody>
      <dsp:txXfrm>
        <a:off x="3130" y="157264"/>
        <a:ext cx="3011320" cy="1077216"/>
      </dsp:txXfrm>
    </dsp:sp>
    <dsp:sp modelId="{341818E9-FCD9-413A-822A-8D94A6BE9DC0}">
      <dsp:nvSpPr>
        <dsp:cNvPr id="0" name=""/>
        <dsp:cNvSpPr/>
      </dsp:nvSpPr>
      <dsp:spPr>
        <a:xfrm>
          <a:off x="297902" y="1068244"/>
          <a:ext cx="2409056" cy="253793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100000"/>
            </a:lnSpc>
            <a:spcBef>
              <a:spcPct val="0"/>
            </a:spcBef>
            <a:spcAft>
              <a:spcPts val="600"/>
            </a:spcAft>
            <a:buNone/>
          </a:pPr>
          <a:r>
            <a:rPr lang="en-AU" sz="1200" kern="1200">
              <a:latin typeface="Arial" panose="020B0604020202020204" pitchFamily="34" charset="0"/>
              <a:cs typeface="Arial" panose="020B0604020202020204" pitchFamily="34" charset="0"/>
            </a:rPr>
            <a:t>External complaints management system</a:t>
          </a:r>
        </a:p>
        <a:p>
          <a:pPr marL="0" lvl="0" indent="0" algn="ctr" defTabSz="533400">
            <a:lnSpc>
              <a:spcPct val="100000"/>
            </a:lnSpc>
            <a:spcBef>
              <a:spcPct val="0"/>
            </a:spcBef>
            <a:spcAft>
              <a:spcPts val="600"/>
            </a:spcAft>
            <a:buNone/>
          </a:pPr>
          <a:r>
            <a:rPr lang="en-US" sz="1200" kern="1200">
              <a:latin typeface="Arial" panose="020B0604020202020204" pitchFamily="34" charset="0"/>
              <a:cs typeface="Arial" panose="020B0604020202020204" pitchFamily="34" charset="0"/>
            </a:rPr>
            <a:t>Authorisation of short-term use of restrictive practices</a:t>
          </a:r>
          <a:endParaRPr lang="en-AU" sz="1200" kern="1200">
            <a:latin typeface="Arial" panose="020B0604020202020204" pitchFamily="34" charset="0"/>
            <a:cs typeface="Arial" panose="020B0604020202020204" pitchFamily="34" charset="0"/>
          </a:endParaRPr>
        </a:p>
        <a:p>
          <a:pPr marL="0" lvl="0" indent="0" algn="ctr" defTabSz="533400">
            <a:lnSpc>
              <a:spcPct val="100000"/>
            </a:lnSpc>
            <a:spcBef>
              <a:spcPct val="0"/>
            </a:spcBef>
            <a:spcAft>
              <a:spcPts val="600"/>
            </a:spcAft>
            <a:buNone/>
          </a:pPr>
          <a:r>
            <a:rPr lang="en-AU" sz="1200" kern="1200">
              <a:latin typeface="Arial" panose="020B0604020202020204" pitchFamily="34" charset="0"/>
              <a:cs typeface="Arial" panose="020B0604020202020204" pitchFamily="34" charset="0"/>
            </a:rPr>
            <a:t>Maintaining policies and risk management strategies to prevent abuse, neglect and exploitation of people with disability </a:t>
          </a:r>
        </a:p>
        <a:p>
          <a:pPr marL="0" lvl="0" indent="0" algn="ctr" defTabSz="533400">
            <a:lnSpc>
              <a:spcPct val="100000"/>
            </a:lnSpc>
            <a:spcBef>
              <a:spcPct val="0"/>
            </a:spcBef>
            <a:spcAft>
              <a:spcPts val="600"/>
            </a:spcAft>
            <a:buNone/>
          </a:pPr>
          <a:r>
            <a:rPr lang="en-AU" sz="1200" kern="1200">
              <a:latin typeface="Arial" panose="020B0604020202020204" pitchFamily="34" charset="0"/>
              <a:cs typeface="Arial" panose="020B0604020202020204" pitchFamily="34" charset="0"/>
            </a:rPr>
            <a:t>Contract management, service procurement, and review of financial statements relating to disabilities</a:t>
          </a:r>
        </a:p>
      </dsp:txBody>
      <dsp:txXfrm>
        <a:off x="368461" y="1138803"/>
        <a:ext cx="2267938" cy="2396820"/>
      </dsp:txXfrm>
    </dsp:sp>
    <dsp:sp modelId="{665A4D8F-1336-4E81-AB8D-C4211198346B}">
      <dsp:nvSpPr>
        <dsp:cNvPr id="0" name=""/>
        <dsp:cNvSpPr/>
      </dsp:nvSpPr>
      <dsp:spPr>
        <a:xfrm>
          <a:off x="3240299" y="151582"/>
          <a:ext cx="3011320" cy="360208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Arial" panose="020B0604020202020204" pitchFamily="34" charset="0"/>
              <a:cs typeface="Arial" panose="020B0604020202020204" pitchFamily="34" charset="0"/>
            </a:rPr>
            <a:t>NDIS Q&amp;S Commission’s Safeguard Functions </a:t>
          </a:r>
          <a:endParaRPr lang="en-AU" sz="1600" kern="1200">
            <a:latin typeface="Arial" panose="020B0604020202020204" pitchFamily="34" charset="0"/>
            <a:cs typeface="Arial" panose="020B0604020202020204" pitchFamily="34" charset="0"/>
          </a:endParaRPr>
        </a:p>
      </dsp:txBody>
      <dsp:txXfrm>
        <a:off x="3240299" y="151582"/>
        <a:ext cx="3011320" cy="1080625"/>
      </dsp:txXfrm>
    </dsp:sp>
    <dsp:sp modelId="{0F9F8378-7EDD-455B-AB67-CB8B1CF3B743}">
      <dsp:nvSpPr>
        <dsp:cNvPr id="0" name=""/>
        <dsp:cNvSpPr/>
      </dsp:nvSpPr>
      <dsp:spPr>
        <a:xfrm>
          <a:off x="3585878" y="1033622"/>
          <a:ext cx="2409056" cy="2536357"/>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88950">
            <a:lnSpc>
              <a:spcPct val="100000"/>
            </a:lnSpc>
            <a:spcBef>
              <a:spcPct val="0"/>
            </a:spcBef>
            <a:spcAft>
              <a:spcPts val="600"/>
            </a:spcAft>
            <a:buNone/>
          </a:pPr>
          <a:r>
            <a:rPr lang="en-AU" sz="1100" kern="1200" baseline="0">
              <a:latin typeface="Arial" panose="020B0604020202020204" pitchFamily="34" charset="0"/>
              <a:cs typeface="Arial" panose="020B0604020202020204" pitchFamily="34" charset="0"/>
            </a:rPr>
            <a:t>Monitoring NDIS registered providers for compliance with the conditions of their registration</a:t>
          </a:r>
        </a:p>
        <a:p>
          <a:pPr marL="0" lvl="0" indent="0" algn="ctr" defTabSz="488950">
            <a:lnSpc>
              <a:spcPct val="100000"/>
            </a:lnSpc>
            <a:spcBef>
              <a:spcPct val="0"/>
            </a:spcBef>
            <a:spcAft>
              <a:spcPts val="600"/>
            </a:spcAft>
            <a:buNone/>
          </a:pPr>
          <a:r>
            <a:rPr lang="en-AU" sz="1100" kern="1200" baseline="0">
              <a:latin typeface="Arial" panose="020B0604020202020204" pitchFamily="34" charset="0"/>
              <a:cs typeface="Arial" panose="020B0604020202020204" pitchFamily="34" charset="0"/>
            </a:rPr>
            <a:t>Monitoring compliance against the NDIS Code of Conduct and NDIS Practice Standards, including undertaking investigations and taking enforcement action </a:t>
          </a:r>
        </a:p>
        <a:p>
          <a:pPr marL="0" lvl="0" indent="0" algn="ctr" defTabSz="488950">
            <a:lnSpc>
              <a:spcPct val="100000"/>
            </a:lnSpc>
            <a:spcBef>
              <a:spcPct val="0"/>
            </a:spcBef>
            <a:spcAft>
              <a:spcPts val="600"/>
            </a:spcAft>
            <a:buNone/>
          </a:pPr>
          <a:r>
            <a:rPr lang="en-AU" sz="1100" kern="1200" baseline="0">
              <a:latin typeface="Arial" panose="020B0604020202020204" pitchFamily="34" charset="0"/>
              <a:cs typeface="Arial" panose="020B0604020202020204" pitchFamily="34" charset="0"/>
            </a:rPr>
            <a:t>Monitoring the use of restrictive practices within the NDIS </a:t>
          </a:r>
        </a:p>
        <a:p>
          <a:pPr marL="0" lvl="0" indent="0" algn="ctr" defTabSz="488950">
            <a:lnSpc>
              <a:spcPct val="100000"/>
            </a:lnSpc>
            <a:spcBef>
              <a:spcPct val="0"/>
            </a:spcBef>
            <a:spcAft>
              <a:spcPts val="600"/>
            </a:spcAft>
            <a:buNone/>
          </a:pPr>
          <a:r>
            <a:rPr lang="en-AU" sz="1100" kern="1200" baseline="0">
              <a:latin typeface="Arial" panose="020B0604020202020204" pitchFamily="34" charset="0"/>
              <a:cs typeface="Arial" panose="020B0604020202020204" pitchFamily="34" charset="0"/>
            </a:rPr>
            <a:t>Investigating any matters relating to registered and unregistered providers and workers.</a:t>
          </a:r>
        </a:p>
      </dsp:txBody>
      <dsp:txXfrm>
        <a:off x="3656437" y="1104181"/>
        <a:ext cx="2267938" cy="2395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26BAC-B69C-4966-B423-3D6885789E52}">
      <dsp:nvSpPr>
        <dsp:cNvPr id="0" name=""/>
        <dsp:cNvSpPr/>
      </dsp:nvSpPr>
      <dsp:spPr>
        <a:xfrm>
          <a:off x="2084294" y="147798"/>
          <a:ext cx="1989582" cy="1989582"/>
        </a:xfrm>
        <a:prstGeom prst="pie">
          <a:avLst>
            <a:gd name="adj1" fmla="val 16200000"/>
            <a:gd name="adj2" fmla="val 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Inform</a:t>
          </a:r>
        </a:p>
      </dsp:txBody>
      <dsp:txXfrm>
        <a:off x="3150142" y="550452"/>
        <a:ext cx="734250" cy="544766"/>
      </dsp:txXfrm>
    </dsp:sp>
    <dsp:sp modelId="{D9B0F201-3973-45E6-BF66-E159F27DFB78}">
      <dsp:nvSpPr>
        <dsp:cNvPr id="0" name=""/>
        <dsp:cNvSpPr/>
      </dsp:nvSpPr>
      <dsp:spPr>
        <a:xfrm>
          <a:off x="2084294" y="195169"/>
          <a:ext cx="1989582" cy="1989582"/>
        </a:xfrm>
        <a:prstGeom prst="pie">
          <a:avLst>
            <a:gd name="adj1" fmla="val 0"/>
            <a:gd name="adj2" fmla="val 5400000"/>
          </a:avLst>
        </a:prstGeom>
        <a:solidFill>
          <a:schemeClr val="accent4">
            <a:hueOff val="-1488257"/>
            <a:satOff val="8966"/>
            <a:lumOff val="71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Educate</a:t>
          </a:r>
        </a:p>
      </dsp:txBody>
      <dsp:txXfrm>
        <a:off x="3150142" y="1237331"/>
        <a:ext cx="734250" cy="544766"/>
      </dsp:txXfrm>
    </dsp:sp>
    <dsp:sp modelId="{329B4A43-7843-40D3-8D24-8443EF6A2633}">
      <dsp:nvSpPr>
        <dsp:cNvPr id="0" name=""/>
        <dsp:cNvSpPr/>
      </dsp:nvSpPr>
      <dsp:spPr>
        <a:xfrm>
          <a:off x="2036923" y="195169"/>
          <a:ext cx="1989582" cy="1989582"/>
        </a:xfrm>
        <a:prstGeom prst="pie">
          <a:avLst>
            <a:gd name="adj1" fmla="val 5400000"/>
            <a:gd name="adj2" fmla="val 10800000"/>
          </a:avLst>
        </a:prstGeom>
        <a:solidFill>
          <a:schemeClr val="accent4">
            <a:hueOff val="-2976513"/>
            <a:satOff val="17933"/>
            <a:lumOff val="143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Investigate</a:t>
          </a:r>
        </a:p>
      </dsp:txBody>
      <dsp:txXfrm>
        <a:off x="2226407" y="1237331"/>
        <a:ext cx="734250" cy="544766"/>
      </dsp:txXfrm>
    </dsp:sp>
    <dsp:sp modelId="{B1B26A0C-7366-43D8-A66B-EAA0AF9B6A9B}">
      <dsp:nvSpPr>
        <dsp:cNvPr id="0" name=""/>
        <dsp:cNvSpPr/>
      </dsp:nvSpPr>
      <dsp:spPr>
        <a:xfrm>
          <a:off x="2036923" y="147798"/>
          <a:ext cx="1989582" cy="1989582"/>
        </a:xfrm>
        <a:prstGeom prst="pie">
          <a:avLst>
            <a:gd name="adj1" fmla="val 10800000"/>
            <a:gd name="adj2" fmla="val 1620000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t>Enforce</a:t>
          </a:r>
        </a:p>
      </dsp:txBody>
      <dsp:txXfrm>
        <a:off x="2226407" y="550452"/>
        <a:ext cx="734250" cy="544766"/>
      </dsp:txXfrm>
    </dsp:sp>
    <dsp:sp modelId="{AB52542E-5CFE-4A24-A7A6-1591B174E5A7}">
      <dsp:nvSpPr>
        <dsp:cNvPr id="0" name=""/>
        <dsp:cNvSpPr/>
      </dsp:nvSpPr>
      <dsp:spPr>
        <a:xfrm>
          <a:off x="1961129" y="24633"/>
          <a:ext cx="2235911" cy="2235911"/>
        </a:xfrm>
        <a:prstGeom prst="circularArrow">
          <a:avLst>
            <a:gd name="adj1" fmla="val 5085"/>
            <a:gd name="adj2" fmla="val 327528"/>
            <a:gd name="adj3" fmla="val 21272472"/>
            <a:gd name="adj4" fmla="val 16200000"/>
            <a:gd name="adj5" fmla="val 5932"/>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0C9657F-3CAA-4CF2-8FE4-8132AE5A3111}">
      <dsp:nvSpPr>
        <dsp:cNvPr id="0" name=""/>
        <dsp:cNvSpPr/>
      </dsp:nvSpPr>
      <dsp:spPr>
        <a:xfrm>
          <a:off x="1961129" y="72004"/>
          <a:ext cx="2235911" cy="2235911"/>
        </a:xfrm>
        <a:prstGeom prst="circularArrow">
          <a:avLst>
            <a:gd name="adj1" fmla="val 5085"/>
            <a:gd name="adj2" fmla="val 327528"/>
            <a:gd name="adj3" fmla="val 5072472"/>
            <a:gd name="adj4" fmla="val 0"/>
            <a:gd name="adj5" fmla="val 5932"/>
          </a:avLst>
        </a:prstGeom>
        <a:solidFill>
          <a:schemeClr val="accent4">
            <a:hueOff val="-1488257"/>
            <a:satOff val="8966"/>
            <a:lumOff val="719"/>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C79847F-E865-4C8B-B503-9E65AE578B0D}">
      <dsp:nvSpPr>
        <dsp:cNvPr id="0" name=""/>
        <dsp:cNvSpPr/>
      </dsp:nvSpPr>
      <dsp:spPr>
        <a:xfrm>
          <a:off x="1913758" y="72004"/>
          <a:ext cx="2235911" cy="2235911"/>
        </a:xfrm>
        <a:prstGeom prst="circularArrow">
          <a:avLst>
            <a:gd name="adj1" fmla="val 5085"/>
            <a:gd name="adj2" fmla="val 327528"/>
            <a:gd name="adj3" fmla="val 10472472"/>
            <a:gd name="adj4" fmla="val 5400000"/>
            <a:gd name="adj5" fmla="val 5932"/>
          </a:avLst>
        </a:prstGeom>
        <a:solidFill>
          <a:schemeClr val="accent4">
            <a:hueOff val="-2976513"/>
            <a:satOff val="17933"/>
            <a:lumOff val="143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E2C8B61-1167-4AC4-8144-F7434C629A7E}">
      <dsp:nvSpPr>
        <dsp:cNvPr id="0" name=""/>
        <dsp:cNvSpPr/>
      </dsp:nvSpPr>
      <dsp:spPr>
        <a:xfrm>
          <a:off x="1913758" y="24633"/>
          <a:ext cx="2235911" cy="2235911"/>
        </a:xfrm>
        <a:prstGeom prst="circularArrow">
          <a:avLst>
            <a:gd name="adj1" fmla="val 5085"/>
            <a:gd name="adj2" fmla="val 327528"/>
            <a:gd name="adj3" fmla="val 15872472"/>
            <a:gd name="adj4" fmla="val 10800000"/>
            <a:gd name="adj5" fmla="val 5932"/>
          </a:avLst>
        </a:prstGeom>
        <a:solidFill>
          <a:schemeClr val="accent4">
            <a:hueOff val="-4464770"/>
            <a:satOff val="26899"/>
            <a:lumOff val="215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horzAlign" val="ctr"/>
      <dgm:param type="vertAlign" val="mid"/>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6"/>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1"/>
          <dgm:constr type="t" for="ch" forName="wedge1" refType="w" fact="0.07"/>
          <dgm:constr type="w" for="ch" forName="wedge1" refType="w" fact="0.84"/>
          <dgm:constr type="h" for="ch" forName="wedge1" refType="h" fact="0.84"/>
          <dgm:constr type="l" for="ch" forName="dummy1a" refType="w" fact="0.52"/>
          <dgm:constr type="t" for="ch" forName="dummy1a" refType="h" fact="0.07"/>
          <dgm:constr type="l" for="ch" forName="dummy1b" refType="w" fact="0.88"/>
          <dgm:constr type="t" for="ch" forName="dummy1b" refType="h" fact="0.7"/>
          <dgm:constr type="l" for="ch" forName="wedge1Tx" refType="w" fact="0.54"/>
          <dgm:constr type="t" for="ch" forName="wedge1Tx" refType="h" fact="0.25"/>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
          <dgm:constr type="t" for="ch" forName="dummy2a" refType="h" fact="0.73"/>
          <dgm:constr type="l" for="ch" forName="dummy2b" refType="w" fact="0.14"/>
          <dgm:constr type="t" for="ch" forName="dummy2b" refType="h" fact="0.73"/>
          <dgm:constr type="l" for="ch" forName="wedge2Tx" refType="w" fact="0.28"/>
          <dgm:constr type="t" for="ch" forName="wedge2Tx" refType="h" fact="0.64"/>
          <dgm:constr type="w" for="ch" forName="wedge2Tx" refType="w" fact="0.45"/>
          <dgm:constr type="h" for="ch" forName="wedge2Tx" refType="h" fact="0.22"/>
          <dgm:constr type="l" for="ch" forName="wedge3" refType="w" fact="0.06"/>
          <dgm:constr type="t" for="ch" forName="wedge3" refType="w" fact="0.07"/>
          <dgm:constr type="w" for="ch" forName="wedge3" refType="w" fact="0.84"/>
          <dgm:constr type="h" for="ch" forName="wedge3" refType="h" fact="0.84"/>
          <dgm:constr type="l" for="ch" forName="dummy3a" refType="w" fact="0.12"/>
          <dgm:constr type="t" for="ch" forName="dummy3a" refType="h" fact="0.7"/>
          <dgm:constr type="l" for="ch" forName="dummy3b" refType="w" fact="0.48"/>
          <dgm:constr type="t" for="ch" forName="dummy3b" refType="h" fact="0.07"/>
          <dgm:constr type="r" for="ch" forName="wedge3Tx" refType="w" fact="0.46"/>
          <dgm:constr type="t" for="ch" forName="wedge3Tx" refType="h" fact="0.25"/>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
          <dgm:constr type="t" for="ch" forName="wedge1" refType="w" fact="0.07"/>
          <dgm:constr type="w" for="ch" forName="wedge1" refType="w" fact="0.84"/>
          <dgm:constr type="h" for="ch" forName="wedge1" refType="h" fact="0.84"/>
          <dgm:constr type="l" for="ch" forName="dummy1a" refType="w" fact="0.51"/>
          <dgm:constr type="t" for="ch" forName="dummy1a" refType="h" fact="0.07"/>
          <dgm:constr type="l" for="ch" forName="dummy1b" refType="w" fact="0.93"/>
          <dgm:constr type="t" for="ch" forName="dummy1b" refType="h" fact="0.49"/>
          <dgm:constr type="l" for="ch" forName="wedge1Tx" refType="w" fact="0.54"/>
          <dgm:constr type="t" for="ch" forName="wedge1Tx" refType="h" fact="0.24"/>
          <dgm:constr type="w" for="ch" forName="wedge1Tx" refType="w" fact="0.31"/>
          <dgm:constr type="h" for="ch" forName="wedge1Tx" refType="h" fact="0.23"/>
          <dgm:constr type="l" for="ch" forName="wedge2" refType="w" fact="0.09"/>
          <dgm:constr type="t" for="ch" forName="wedge2" refType="w" fact="0.09"/>
          <dgm:constr type="w" for="ch" forName="wedge2" refType="w" fact="0.84"/>
          <dgm:constr type="h" for="ch" forName="wedge2" refType="h" fact="0.84"/>
          <dgm:constr type="l" for="ch" forName="dummy2a" refType="w" fact="0.93"/>
          <dgm:constr type="t" for="ch" forName="dummy2a" refType="h" fact="0.51"/>
          <dgm:constr type="l" for="ch" forName="dummy2b" refType="w" fact="0.51"/>
          <dgm:constr type="t" for="ch" forName="dummy2b" refType="h" fact="0.93"/>
          <dgm:constr type="l" for="ch" forName="wedge2Tx" refType="w" fact="0.54"/>
          <dgm:constr type="t" for="ch" forName="wedge2Tx" refType="h" fact="0.53"/>
          <dgm:constr type="w" for="ch" forName="wedge2Tx" refType="w" fact="0.31"/>
          <dgm:constr type="h" for="ch" forName="wedge2Tx" refType="h" fact="0.23"/>
          <dgm:constr type="l" for="ch" forName="wedge3" refType="w" fact="0.07"/>
          <dgm:constr type="t" for="ch" forName="wedge3" refType="w" fact="0.09"/>
          <dgm:constr type="w" for="ch" forName="wedge3" refType="w" fact="0.84"/>
          <dgm:constr type="h" for="ch" forName="wedge3" refType="h" fact="0.84"/>
          <dgm:constr type="l" for="ch" forName="dummy3a" refType="w" fact="0.49"/>
          <dgm:constr type="t" for="ch" forName="dummy3a" refType="h" fact="0.93"/>
          <dgm:constr type="l" for="ch" forName="dummy3b" refType="w" fact="0.07"/>
          <dgm:constr type="t" for="ch" forName="dummy3b" refType="h" fact="0.51"/>
          <dgm:constr type="r" for="ch" forName="wedge3Tx" refType="w" fact="0.46"/>
          <dgm:constr type="t" for="ch" forName="wedge3Tx" refType="h" fact="0.53"/>
          <dgm:constr type="w" for="ch" forName="wedge3Tx" refType="w" fact="0.31"/>
          <dgm:constr type="h" for="ch" forName="wedge3Tx" refType="h" fact="0.23"/>
          <dgm:constr type="l" for="ch" forName="wedge4" refType="w" fact="0.07"/>
          <dgm:constr type="t" for="ch" forName="wedge4" refType="h" fact="0.07"/>
          <dgm:constr type="w" for="ch" forName="wedge4" refType="w" fact="0.84"/>
          <dgm:constr type="h" for="ch" forName="wedge4" refType="h" fact="0.84"/>
          <dgm:constr type="l" for="ch" forName="dummy4a" refType="w" fact="0.07"/>
          <dgm:constr type="t" for="ch" forName="dummy4a" refType="h" fact="0.49"/>
          <dgm:constr type="l" for="ch" forName="dummy4b" refType="w" fact="0.49"/>
          <dgm:constr type="t" for="ch" forName="dummy4b" refType="h" fact="0.07"/>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91"/>
          <dgm:constr type="t" for="ch" forName="dummy1b" refType="h" fact="0.35"/>
          <dgm:constr type="l" for="ch" forName="wedge1Tx" refType="w" fact="0.53"/>
          <dgm:constr type="t" for="ch" forName="wedge1Tx" refType="h" fact="0.2"/>
          <dgm:constr type="w" for="ch" forName="wedge1Tx" refType="w" fact="0.27"/>
          <dgm:constr type="h" for="ch" forName="wedge1Tx" refType="h" fact="0.18"/>
          <dgm:constr type="l" for="ch" forName="wedge2" refType="w" fact="0.1"/>
          <dgm:constr type="t" for="ch" forName="wedge2" refType="w" fact="0.09"/>
          <dgm:constr type="w" for="ch" forName="wedge2" refType="w" fact="0.84"/>
          <dgm:constr type="h" for="ch" forName="wedge2" refType="h" fact="0.84"/>
          <dgm:constr type="l" for="ch" forName="dummy2a" refType="w" fact="0.92"/>
          <dgm:constr type="t" for="ch" forName="dummy2a" refType="h" fact="0.38"/>
          <dgm:constr type="l" for="ch" forName="dummy2b" refType="w" fact="0.77"/>
          <dgm:constr type="t" for="ch" forName="dummy2b" refType="h" fact="0.85"/>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5"/>
          <dgm:constr type="t" for="ch" forName="dummy3a" refType="h" fact="0.86"/>
          <dgm:constr type="l" for="ch" forName="dummy3b" refType="w" fact="0.25"/>
          <dgm:constr type="t" for="ch" forName="dummy3b" refType="h" fact="0.86"/>
          <dgm:constr type="l" for="ch" forName="wedge3Tx" refType="w" fact="0.38"/>
          <dgm:constr type="t" for="ch" forName="wedge3Tx" refType="h" fact="0.69"/>
          <dgm:constr type="w" for="ch" forName="wedge3Tx" refType="w" fact="0.24"/>
          <dgm:constr type="h" for="ch" forName="wedge3Tx" refType="h" fact="0.22"/>
          <dgm:constr type="l" for="ch" forName="wedge4" refType="w" fact="0.06"/>
          <dgm:constr type="t" for="ch" forName="wedge4" refType="h" fact="0.09"/>
          <dgm:constr type="w" for="ch" forName="wedge4" refType="w" fact="0.84"/>
          <dgm:constr type="h" for="ch" forName="wedge4" refType="h" fact="0.84"/>
          <dgm:constr type="l" for="ch" forName="dummy4a" refType="w" fact="0.23"/>
          <dgm:constr type="t" for="ch" forName="dummy4a" refType="h" fact="0.85"/>
          <dgm:constr type="l" for="ch" forName="dummy4b" refType="w" fact="0.08"/>
          <dgm:constr type="t" for="ch" forName="dummy4b" refType="h" fact="0.38"/>
          <dgm:constr type="r" for="ch" forName="wedge4Tx" refType="w" fact="0.36"/>
          <dgm:constr type="t" for="ch" forName="wedge4Tx" refType="h" fact="0.47"/>
          <dgm:constr type="w" for="ch" forName="wedge4Tx" refType="w" fact="0.25"/>
          <dgm:constr type="h" for="ch" forName="wedge4Tx" refType="h" fact="0.2"/>
          <dgm:constr type="l" for="ch" forName="wedge5" refType="w" fact="0.07"/>
          <dgm:constr type="t" for="ch" forName="wedge5" refType="h" fact="0.06"/>
          <dgm:constr type="w" for="ch" forName="wedge5" refType="w" fact="0.84"/>
          <dgm:constr type="h" for="ch" forName="wedge5" refType="h" fact="0.84"/>
          <dgm:constr type="l" for="ch" forName="dummy5a" refType="w" fact="0.09"/>
          <dgm:constr type="t" for="ch" forName="dummy5a" refType="h" fact="0.35"/>
          <dgm:constr type="l" for="ch" forName="dummy5b" refType="w" fact="0.49"/>
          <dgm:constr type="t" for="ch" forName="dummy5b" refType="h" fact="0.06"/>
          <dgm:constr type="r" for="ch" forName="wedge5Tx" refType="w" fact="0.47"/>
          <dgm:constr type="t" for="ch" forName="wedge5Tx" refType="h" fact="0.2"/>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87"/>
          <dgm:constr type="t" for="ch" forName="dummy1b" refType="h" fact="0.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
          <dgm:constr type="t" for="ch" forName="dummy2a" refType="h" fact="0.29"/>
          <dgm:constr type="l" for="ch" forName="dummy2b" refType="w" fact="0.88"/>
          <dgm:constr type="t" for="ch" forName="dummy2b" refType="h" fact="0.71"/>
          <dgm:constr type="l" for="ch" forName="wedge2Tx" refType="w" fact="0.67"/>
          <dgm:constr type="t" for="ch" forName="wedge2Tx" refType="h" fact="0.42"/>
          <dgm:constr type="w" for="ch" forName="wedge2Tx" refType="w" fact="0.23"/>
          <dgm:constr type="h" for="ch" forName="wedge2Tx" refType="h" fact="0.16"/>
          <dgm:constr type="l" for="ch" forName="wedge3" refType="w" fact="0.09"/>
          <dgm:constr type="t" for="ch" forName="wedge3" refType="w" fact="0.1"/>
          <dgm:constr type="w" for="ch" forName="wedge3" refType="w" fact="0.84"/>
          <dgm:constr type="h" for="ch" forName="wedge3" refType="h" fact="0.84"/>
          <dgm:constr type="l" for="ch" forName="dummy3a" refType="w" fact="0.87"/>
          <dgm:constr type="t" for="ch" forName="dummy3a" refType="h" fact="0.73"/>
          <dgm:constr type="l" for="ch" forName="dummy3b" refType="w" fact="0.51"/>
          <dgm:constr type="t" for="ch" forName="dummy3b" refType="h" fact="0.94"/>
          <dgm:constr type="l" for="ch" forName="wedge3Tx" refType="w" fact="0.53"/>
          <dgm:constr type="t" for="ch" forName="wedge3Tx" refType="h" fact="0.66"/>
          <dgm:constr type="w" for="ch" forName="wedge3Tx" refType="w" fact="0.22"/>
          <dgm:constr type="h" for="ch" forName="wedge3Tx" refType="h" fact="0.17"/>
          <dgm:constr type="l" for="ch" forName="wedge4" refType="w" fact="0.07"/>
          <dgm:constr type="t" for="ch" forName="wedge4" refType="h" fact="0.1"/>
          <dgm:constr type="w" for="ch" forName="wedge4" refType="w" fact="0.84"/>
          <dgm:constr type="h" for="ch" forName="wedge4" refType="h" fact="0.84"/>
          <dgm:constr type="l" for="ch" forName="dummy4a" refType="w" fact="0.49"/>
          <dgm:constr type="t" for="ch" forName="dummy4a" refType="h" fact="0.94"/>
          <dgm:constr type="l" for="ch" forName="dummy4b" refType="w" fact="0.13"/>
          <dgm:constr type="t" for="ch" forName="dummy4b" refType="h" fact="0.73"/>
          <dgm:constr type="r" for="ch" forName="wedge4Tx" refType="w" fact="0.47"/>
          <dgm:constr type="t" for="ch" forName="wedge4Tx" refType="h" fact="0.66"/>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2"/>
          <dgm:constr type="t" for="ch" forName="dummy5a" refType="h" fact="0.71"/>
          <dgm:constr type="l" for="ch" forName="dummy5b" refType="w" fact="0.12"/>
          <dgm:constr type="t" for="ch" forName="dummy5b" refType="h" fact="0.29"/>
          <dgm:constr type="r" for="ch" forName="wedge5Tx" refType="w" fact="0.33"/>
          <dgm:constr type="t" for="ch" forName="wedge5Tx" refType="h" fact="0.42"/>
          <dgm:constr type="w" for="ch" forName="wedge5Tx" refType="w" fact="0.23"/>
          <dgm:constr type="h" for="ch" forName="wedge5Tx" refType="h" fact="0.16"/>
          <dgm:constr type="l" for="ch" forName="wedge6" refType="w" fact="0.07"/>
          <dgm:constr type="t" for="ch" forName="wedge6" refType="h" fact="0.06"/>
          <dgm:constr type="w" for="ch" forName="wedge6" refType="w" fact="0.84"/>
          <dgm:constr type="h" for="ch" forName="wedge6" refType="h" fact="0.84"/>
          <dgm:constr type="l" for="ch" forName="dummy6a" refType="w" fact="0.13"/>
          <dgm:constr type="t" for="ch" forName="dummy6a" refType="h" fact="0.27"/>
          <dgm:constr type="l" for="ch" forName="dummy6b" refType="w" fact="0.49"/>
          <dgm:constr type="t" for="ch" forName="dummy6b" refType="h" fact="0.06"/>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9"/>
          <dgm:constr type="t" for="ch" forName="wedge1" refType="w" fact="0.06"/>
          <dgm:constr type="w" for="ch" forName="wedge1" refType="w" fact="0.84"/>
          <dgm:constr type="h" for="ch" forName="wedge1" refType="h" fact="0.84"/>
          <dgm:constr type="l" for="ch" forName="dummy1a" refType="w" fact="0.51"/>
          <dgm:constr type="t" for="ch" forName="dummy1a" refType="h" fact="0.06"/>
          <dgm:constr type="l" for="ch" forName="dummy1b" refType="w" fact="0.84"/>
          <dgm:constr type="t" for="ch" forName="dummy1b" refType="h" fact="0.22"/>
          <dgm:constr type="l" for="ch" forName="wedge1Tx" refType="w" fact="0.53"/>
          <dgm:constr type="t" for="ch" forName="wedge1Tx" refType="h" fact="0.14"/>
          <dgm:constr type="w" for="ch" forName="wedge1Tx" refType="w" fact="0.2"/>
          <dgm:constr type="h" for="ch" forName="wedge1Tx" refType="h" fact="0.16"/>
          <dgm:constr type="l" for="ch" forName="wedge2" refType="w" fact="0.1"/>
          <dgm:constr type="t" for="ch" forName="wedge2" refType="w" fact="0.08"/>
          <dgm:constr type="w" for="ch" forName="wedge2" refType="w" fact="0.84"/>
          <dgm:constr type="h" for="ch" forName="wedge2" refType="h" fact="0.84"/>
          <dgm:constr type="l" for="ch" forName="dummy2a" refType="w" fact="0.85"/>
          <dgm:constr type="t" for="ch" forName="dummy2a" refType="h" fact="0.23"/>
          <dgm:constr type="l" for="ch" forName="dummy2b" refType="w" fact="0.93"/>
          <dgm:constr type="t" for="ch" forName="dummy2b" refType="h" fact="0.59"/>
          <dgm:constr type="l" for="ch" forName="wedge2Tx" refType="w" fact="0.67"/>
          <dgm:constr type="t" for="ch" forName="wedge2Tx" refType="h" fact="0.38"/>
          <dgm:constr type="w" for="ch" forName="wedge2Tx" refType="w" fact="0.23"/>
          <dgm:constr type="h" for="ch" forName="wedge2Tx" refType="h" fact="0.14"/>
          <dgm:constr type="l" for="ch" forName="wedge3" refType="w" fact="0.1"/>
          <dgm:constr type="t" for="ch" forName="wedge3" refType="w" fact="0.09"/>
          <dgm:constr type="w" for="ch" forName="wedge3" refType="w" fact="0.84"/>
          <dgm:constr type="h" for="ch" forName="wedge3" refType="h" fact="0.84"/>
          <dgm:constr type="l" for="ch" forName="dummy3a" refType="w" fact="0.93"/>
          <dgm:constr type="t" for="ch" forName="dummy3a" refType="h" fact="0.61"/>
          <dgm:constr type="l" for="ch" forName="dummy3b" refType="w" fact="0.7"/>
          <dgm:constr type="t" for="ch" forName="dummy3b" refType="h" fact="0.89"/>
          <dgm:constr type="l" for="ch" forName="wedge3Tx" refType="w" fact="0.64"/>
          <dgm:constr type="t" for="ch" forName="wedge3Tx" refType="h" fact="0.59"/>
          <dgm:constr type="w" for="ch" forName="wedge3Tx" refType="w" fact="0.2"/>
          <dgm:constr type="h" for="ch" forName="wedge3Tx" refType="h" fact="0.16"/>
          <dgm:constr type="l" for="ch" forName="wedge4" refType="w" fact="0.08"/>
          <dgm:constr type="t" for="ch" forName="wedge4" refType="h" fact="0.1"/>
          <dgm:constr type="w" for="ch" forName="wedge4" refType="w" fact="0.84"/>
          <dgm:constr type="h" for="ch" forName="wedge4" refType="h" fact="0.84"/>
          <dgm:constr type="l" for="ch" forName="dummy4a" refType="w" fact="0.68"/>
          <dgm:constr type="t" for="ch" forName="dummy4a" refType="h" fact="0.9"/>
          <dgm:constr type="l" for="ch" forName="dummy4b" refType="w" fact="0.32"/>
          <dgm:constr type="t" for="ch" forName="dummy4b" refType="h" fact="0.9"/>
          <dgm:constr type="l" for="ch" forName="wedge4Tx" refType="w" fact="0.4"/>
          <dgm:constr type="t" for="ch" forName="wedge4Tx" refType="h" fact="0.76"/>
          <dgm:constr type="w" for="ch" forName="wedge4Tx" refType="w" fact="0.2"/>
          <dgm:constr type="h" for="ch" forName="wedge4Tx" refType="h" fact="0.14"/>
          <dgm:constr type="l" for="ch" forName="wedge5" refType="w" fact="0.06"/>
          <dgm:constr type="t" for="ch" forName="wedge5" refType="h" fact="0.09"/>
          <dgm:constr type="w" for="ch" forName="wedge5" refType="w" fact="0.84"/>
          <dgm:constr type="h" for="ch" forName="wedge5" refType="h" fact="0.84"/>
          <dgm:constr type="l" for="ch" forName="dummy5a" refType="w" fact="0.3"/>
          <dgm:constr type="t" for="ch" forName="dummy5a" refType="h" fact="0.89"/>
          <dgm:constr type="l" for="ch" forName="dummy5b" refType="w" fact="0.07"/>
          <dgm:constr type="t" for="ch" forName="dummy5b" refType="h" fact="0.61"/>
          <dgm:constr type="r" for="ch" forName="wedge5Tx" refType="w" fact="0.36"/>
          <dgm:constr type="t" for="ch" forName="wedge5Tx" refType="h" fact="0.59"/>
          <dgm:constr type="w" for="ch" forName="wedge5Tx" refType="w" fact="0.2"/>
          <dgm:constr type="h" for="ch" forName="wedge5Tx" refType="h" fact="0.16"/>
          <dgm:constr type="l" for="ch" forName="wedge6" refType="w" fact="0.06"/>
          <dgm:constr type="t" for="ch" forName="wedge6" refType="h" fact="0.08"/>
          <dgm:constr type="w" for="ch" forName="wedge6" refType="w" fact="0.84"/>
          <dgm:constr type="h" for="ch" forName="wedge6" refType="h" fact="0.84"/>
          <dgm:constr type="l" for="ch" forName="dummy6a" refType="w" fact="0.07"/>
          <dgm:constr type="t" for="ch" forName="dummy6a" refType="h" fact="0.59"/>
          <dgm:constr type="l" for="ch" forName="dummy6b" refType="w" fact="0.15"/>
          <dgm:constr type="t" for="ch" forName="dummy6b" refType="h" fact="0.23"/>
          <dgm:constr type="r" for="ch" forName="wedge6Tx" refType="w" fact="0.33"/>
          <dgm:constr type="t" for="ch" forName="wedge6Tx" refType="h" fact="0.38"/>
          <dgm:constr type="w" for="ch" forName="wedge6Tx" refType="w" fact="0.23"/>
          <dgm:constr type="h" for="ch" forName="wedge6Tx" refType="h" fact="0.14"/>
          <dgm:constr type="l" for="ch" forName="wedge7" refType="w" fact="0.07"/>
          <dgm:constr type="t" for="ch" forName="wedge7" refType="h" fact="0.06"/>
          <dgm:constr type="w" for="ch" forName="wedge7" refType="w" fact="0.84"/>
          <dgm:constr type="h" for="ch" forName="wedge7" refType="h" fact="0.84"/>
          <dgm:constr type="l" for="ch" forName="dummy7a" refType="w" fact="0.16"/>
          <dgm:constr type="t" for="ch" forName="dummy7a" refType="h" fact="0.22"/>
          <dgm:constr type="l" for="ch" forName="dummy7b" refType="w" fact="0.49"/>
          <dgm:constr type="t" for="ch" forName="dummy7b" refType="h" fact="0.06"/>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3"/>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3"/>
                  <dgm:adj idx="2" val="12.86"/>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6"/>
                  <dgm:adj idx="2" val="64.29"/>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9"/>
                  <dgm:adj idx="2" val="115.71"/>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
                  <dgm:adj idx="2" val="167.14"/>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
                  <dgm:adj idx="2" val="218.57"/>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begPts" val="tL"/>
                  <dgm:param type="begSty" val="arr"/>
                  <dgm:param type="connRout" val="longCurve"/>
                  <dgm:param type="dstNode" val="dummy1b"/>
                  <dgm:param type="endPts" val="tR"/>
                  <dgm:param type="endSty" val="noArr"/>
                  <dgm:param type="srcNode" val="dummy1a"/>
                </dgm:alg>
              </dgm:if>
              <dgm:else name="Name175">
                <dgm:alg type="conn">
                  <dgm:param type="begPts" val="tL"/>
                  <dgm:param type="begSty" val="noArr"/>
                  <dgm:param type="connRout" val="longCurve"/>
                  <dgm:param type="dstNode" val="dummy1b"/>
                  <dgm:param type="endPts" val="tR"/>
                  <dgm:param type="endSty" val="arr"/>
                  <dgm:param type="srcNode" val="dummy1a"/>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begPts" val="tL"/>
                  <dgm:param type="begSty" val="noArr"/>
                  <dgm:param type="connRout" val="curve"/>
                  <dgm:param type="dstNode" val="dummy1b"/>
                  <dgm:param type="endPts" val="tL"/>
                  <dgm:param type="endSty" val="arr"/>
                  <dgm:param type="srcNode" val="dummy1a"/>
                </dgm:alg>
              </dgm:if>
              <dgm:else name="Name180">
                <dgm:alg type="conn">
                  <dgm:param type="begPts" val="tL"/>
                  <dgm:param type="begSty" val="arr"/>
                  <dgm:param type="connRout" val="curve"/>
                  <dgm:param type="dstNode" val="dummy1b"/>
                  <dgm:param type="endPts" val="tL"/>
                  <dgm:param type="endSty" val="noArr"/>
                  <dgm:param type="srcNode" val="dummy1a"/>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begPts" val="tL"/>
              <dgm:param type="begSty" val="noArr"/>
              <dgm:param type="connRout" val="curve"/>
              <dgm:param type="dstNode" val="dummy2b"/>
              <dgm:param type="endPts" val="tL"/>
              <dgm:param type="endSty" val="arr"/>
              <dgm:param type="srcNode" val="dummy2a"/>
            </dgm:alg>
          </dgm:if>
          <dgm:else name="Name185">
            <dgm:alg type="conn">
              <dgm:param type="begPts" val="tL"/>
              <dgm:param type="begSty" val="arr"/>
              <dgm:param type="connRout" val="curve"/>
              <dgm:param type="dstNode" val="dummy2b"/>
              <dgm:param type="endPts" val="tL"/>
              <dgm:param type="endSty" val="noArr"/>
              <dgm:param type="srcNode" val="dummy2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begPts" val="tL"/>
              <dgm:param type="begSty" val="noArr"/>
              <dgm:param type="connRout" val="curve"/>
              <dgm:param type="dstNode" val="dummy3b"/>
              <dgm:param type="endPts" val="tL"/>
              <dgm:param type="endSty" val="arr"/>
              <dgm:param type="srcNode" val="dummy3a"/>
            </dgm:alg>
          </dgm:if>
          <dgm:else name="Name189">
            <dgm:alg type="conn">
              <dgm:param type="begPts" val="tL"/>
              <dgm:param type="begSty" val="arr"/>
              <dgm:param type="connRout" val="curve"/>
              <dgm:param type="dstNode" val="dummy3b"/>
              <dgm:param type="endPts" val="tL"/>
              <dgm:param type="endSty" val="noArr"/>
              <dgm:param type="srcNode" val="dummy3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begPts" val="tL"/>
              <dgm:param type="begSty" val="noArr"/>
              <dgm:param type="connRout" val="curve"/>
              <dgm:param type="dstNode" val="dummy4b"/>
              <dgm:param type="endPts" val="tL"/>
              <dgm:param type="endSty" val="arr"/>
              <dgm:param type="srcNode" val="dummy4a"/>
            </dgm:alg>
          </dgm:if>
          <dgm:else name="Name193">
            <dgm:alg type="conn">
              <dgm:param type="begPts" val="tL"/>
              <dgm:param type="begSty" val="arr"/>
              <dgm:param type="connRout" val="curve"/>
              <dgm:param type="dstNode" val="dummy4b"/>
              <dgm:param type="endPts" val="tL"/>
              <dgm:param type="endSty" val="noArr"/>
              <dgm:param type="srcNode" val="dummy4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begPts" val="tL"/>
              <dgm:param type="begSty" val="noArr"/>
              <dgm:param type="connRout" val="curve"/>
              <dgm:param type="dstNode" val="dummy5b"/>
              <dgm:param type="endPts" val="tL"/>
              <dgm:param type="endSty" val="arr"/>
              <dgm:param type="srcNode" val="dummy5a"/>
            </dgm:alg>
          </dgm:if>
          <dgm:else name="Name197">
            <dgm:alg type="conn">
              <dgm:param type="begPts" val="tL"/>
              <dgm:param type="begSty" val="arr"/>
              <dgm:param type="connRout" val="curve"/>
              <dgm:param type="dstNode" val="dummy5b"/>
              <dgm:param type="endPts" val="tL"/>
              <dgm:param type="endSty" val="noArr"/>
              <dgm:param type="srcNode" val="dummy5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begPts" val="tL"/>
              <dgm:param type="begSty" val="noArr"/>
              <dgm:param type="connRout" val="curve"/>
              <dgm:param type="dstNode" val="dummy6b"/>
              <dgm:param type="endPts" val="tL"/>
              <dgm:param type="endSty" val="arr"/>
              <dgm:param type="srcNode" val="dummy6a"/>
            </dgm:alg>
          </dgm:if>
          <dgm:else name="Name201">
            <dgm:alg type="conn">
              <dgm:param type="begPts" val="tL"/>
              <dgm:param type="begSty" val="arr"/>
              <dgm:param type="connRout" val="curve"/>
              <dgm:param type="dstNode" val="dummy6b"/>
              <dgm:param type="endPts" val="tL"/>
              <dgm:param type="endSty" val="noArr"/>
              <dgm:param type="srcNode" val="dummy6a"/>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begPts" val="tL"/>
              <dgm:param type="begSty" val="noArr"/>
              <dgm:param type="connRout" val="curve"/>
              <dgm:param type="dstNode" val="dummy7b"/>
              <dgm:param type="endPts" val="tL"/>
              <dgm:param type="endSty" val="arr"/>
              <dgm:param type="srcNode" val="dummy7a"/>
            </dgm:alg>
          </dgm:if>
          <dgm:else name="Name205">
            <dgm:alg type="conn">
              <dgm:param type="begPts" val="tL"/>
              <dgm:param type="begSty" val="arr"/>
              <dgm:param type="connRout" val="curve"/>
              <dgm:param type="dstNode" val="dummy7b"/>
              <dgm:param type="endPts" val="tL"/>
              <dgm:param type="endSty" val="noArr"/>
              <dgm:param type="srcNode" val="dummy7a"/>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Disability Services Legislative Compliance Strategy</vt:lpstr>
    </vt:vector>
  </TitlesOfParts>
  <Manager/>
  <Company/>
  <LinksUpToDate>false</LinksUpToDate>
  <CharactersWithSpaces>16501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Legislative Compliance Strategy</dc:title>
  <dc:subject>Strategy</dc:subject>
  <dc:creator>Queensland Government</dc:creator>
  <cp:keywords>disability;services;legislative;compliance;strategy;guiding'principles;risk;management</cp:keywords>
  <cp:lastModifiedBy>Shannon T Hamilton</cp:lastModifiedBy>
  <cp:revision>12</cp:revision>
  <dcterms:created xsi:type="dcterms:W3CDTF">2025-07-24T23:07:00Z</dcterms:created>
  <dcterms:modified xsi:type="dcterms:W3CDTF">2025-07-25T03:40:00Z</dcterms:modified>
  <cp:contentStatus>Approved</cp:contentStatus>
</cp:coreProperties>
</file>