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94633" w14:textId="77777777" w:rsidR="00C95345" w:rsidRPr="00C95345" w:rsidRDefault="00C95345" w:rsidP="00C95345">
      <w:pPr>
        <w:pStyle w:val="UltraHeading"/>
      </w:pPr>
      <w:r w:rsidRPr="00C95345">
        <w:t>Human and Social Recovery and Resilience Plan 2025–28</w:t>
      </w:r>
    </w:p>
    <w:p w14:paraId="1DD6CDCC" w14:textId="77777777" w:rsidR="00C95345" w:rsidRPr="00C95345" w:rsidRDefault="00C95345" w:rsidP="00C95345">
      <w:pPr>
        <w:pStyle w:val="Heading1"/>
      </w:pPr>
      <w:r w:rsidRPr="00C95345">
        <w:t>Our vision</w:t>
      </w:r>
    </w:p>
    <w:p w14:paraId="54A1D896" w14:textId="77777777" w:rsidR="00C95345" w:rsidRPr="00C95345" w:rsidRDefault="00C95345" w:rsidP="00C95345">
      <w:r w:rsidRPr="00C95345">
        <w:t>A disaster resilient Queensland: well prepared and supported.</w:t>
      </w:r>
    </w:p>
    <w:p w14:paraId="5FFEC549" w14:textId="77777777" w:rsidR="00C95345" w:rsidRPr="00C95345" w:rsidRDefault="00C95345" w:rsidP="00C95345">
      <w:r w:rsidRPr="00C95345">
        <w:t>This plan outlines the frameworks, roles and strategies required to support individuals, families and communities in recovering from disasters. It emphasises the importance of addressing immediate needs, fostering social wellbeing and building long-term resilience to strengthen communities.</w:t>
      </w:r>
    </w:p>
    <w:p w14:paraId="4BE376B5" w14:textId="77777777" w:rsidR="00C95345" w:rsidRPr="00C95345" w:rsidRDefault="00C95345" w:rsidP="00C95345">
      <w:r w:rsidRPr="00C95345">
        <w:t>Collaboration is key. Government agencies, non-government organisations, community-based organisations and communities must work together to achieve impactful recovery and resilience outcomes.</w:t>
      </w:r>
    </w:p>
    <w:p w14:paraId="704DDAE3" w14:textId="77777777" w:rsidR="00C95345" w:rsidRPr="00C95345" w:rsidRDefault="00C95345" w:rsidP="00C95345">
      <w:pPr>
        <w:pStyle w:val="Heading1"/>
      </w:pPr>
      <w:r w:rsidRPr="00C95345">
        <w:t>Our objectives</w:t>
      </w:r>
    </w:p>
    <w:p w14:paraId="75D32E33" w14:textId="7FC66700" w:rsidR="00C95345" w:rsidRPr="00C95345" w:rsidRDefault="00C95345" w:rsidP="00C95345">
      <w:pPr>
        <w:pStyle w:val="Heading2"/>
        <w:numPr>
          <w:ilvl w:val="0"/>
          <w:numId w:val="18"/>
        </w:numPr>
      </w:pPr>
      <w:r w:rsidRPr="00C95345">
        <w:t>Strengthening partnerships</w:t>
      </w:r>
    </w:p>
    <w:p w14:paraId="41A03E8F" w14:textId="77777777" w:rsidR="00C95345" w:rsidRDefault="00C95345" w:rsidP="00C95345">
      <w:r w:rsidRPr="00C95345">
        <w:t>Sustaining effective partnerships with all levels of government, non-government and community-based organisations and communities.</w:t>
      </w:r>
    </w:p>
    <w:p w14:paraId="11336BC4" w14:textId="77777777" w:rsidR="00C95345" w:rsidRDefault="00C95345" w:rsidP="00C95345">
      <w:pPr>
        <w:rPr>
          <w:b/>
          <w:bCs/>
        </w:rPr>
      </w:pPr>
      <w:r w:rsidRPr="00C95345">
        <w:rPr>
          <w:b/>
          <w:bCs/>
        </w:rPr>
        <w:t>Our actions</w:t>
      </w:r>
    </w:p>
    <w:p w14:paraId="5AD4582E" w14:textId="77777777" w:rsidR="00C95345" w:rsidRPr="00C95345" w:rsidRDefault="00C95345" w:rsidP="00C95345">
      <w:pPr>
        <w:numPr>
          <w:ilvl w:val="0"/>
          <w:numId w:val="12"/>
        </w:numPr>
      </w:pPr>
      <w:r w:rsidRPr="00C95345">
        <w:t>Coordinate and deliver timely, community-led responses and place-based services to disaster-impacted communities.</w:t>
      </w:r>
    </w:p>
    <w:p w14:paraId="1F47BFB2" w14:textId="77777777" w:rsidR="00C95345" w:rsidRPr="00C95345" w:rsidRDefault="00C95345" w:rsidP="00C95345">
      <w:pPr>
        <w:numPr>
          <w:ilvl w:val="0"/>
          <w:numId w:val="12"/>
        </w:numPr>
      </w:pPr>
      <w:r w:rsidRPr="00C95345">
        <w:t>Collaborate with key delivery partners and Functional Recovery and Resilience Groups to enhance disaster preparedness and planning.</w:t>
      </w:r>
    </w:p>
    <w:p w14:paraId="1E91C11E" w14:textId="77777777" w:rsidR="00C95345" w:rsidRPr="00C95345" w:rsidRDefault="00C95345" w:rsidP="00C95345">
      <w:pPr>
        <w:numPr>
          <w:ilvl w:val="0"/>
          <w:numId w:val="12"/>
        </w:numPr>
      </w:pPr>
      <w:r w:rsidRPr="00C95345">
        <w:t>Foster and maintain multi-agency partnerships to achieve long-term recovery goals and support resilience-building.</w:t>
      </w:r>
    </w:p>
    <w:p w14:paraId="58AA713E" w14:textId="77777777" w:rsidR="00C95345" w:rsidRPr="00C95345" w:rsidRDefault="00C95345" w:rsidP="00C95345">
      <w:pPr>
        <w:numPr>
          <w:ilvl w:val="0"/>
          <w:numId w:val="12"/>
        </w:numPr>
      </w:pPr>
      <w:r w:rsidRPr="00C95345">
        <w:t>Support effective communications across the human and social recovery and resilience sector.</w:t>
      </w:r>
    </w:p>
    <w:p w14:paraId="1DC72D18" w14:textId="77777777" w:rsidR="00C95345" w:rsidRPr="00C95345" w:rsidRDefault="00C95345" w:rsidP="00C95345">
      <w:pPr>
        <w:numPr>
          <w:ilvl w:val="0"/>
          <w:numId w:val="12"/>
        </w:numPr>
      </w:pPr>
      <w:r w:rsidRPr="00C95345">
        <w:t>Work with stakeholders to enhance data modelling and needs assessment capabilities.</w:t>
      </w:r>
    </w:p>
    <w:p w14:paraId="3B8CBA4F" w14:textId="77777777" w:rsidR="00C95345" w:rsidRPr="00C95345" w:rsidRDefault="00C95345" w:rsidP="00C95345">
      <w:pPr>
        <w:pStyle w:val="Heading2"/>
        <w:numPr>
          <w:ilvl w:val="0"/>
          <w:numId w:val="18"/>
        </w:numPr>
      </w:pPr>
      <w:r w:rsidRPr="00C95345">
        <w:t>Improving service delivery</w:t>
      </w:r>
    </w:p>
    <w:p w14:paraId="20D431AE" w14:textId="77777777" w:rsidR="00C95345" w:rsidRPr="00C95345" w:rsidRDefault="00C95345" w:rsidP="00C95345">
      <w:r w:rsidRPr="00C95345">
        <w:t>Driving efficiencies in the management and delivery of human and social recovery services to individuals, families and communities.</w:t>
      </w:r>
    </w:p>
    <w:p w14:paraId="67B93BF1" w14:textId="77777777" w:rsidR="00C95345" w:rsidRPr="00C95345" w:rsidRDefault="00C95345" w:rsidP="00C95345">
      <w:pPr>
        <w:rPr>
          <w:b/>
          <w:bCs/>
        </w:rPr>
      </w:pPr>
      <w:r w:rsidRPr="00C95345">
        <w:rPr>
          <w:b/>
          <w:bCs/>
        </w:rPr>
        <w:t>Our actions</w:t>
      </w:r>
    </w:p>
    <w:p w14:paraId="01EED8C4" w14:textId="77777777" w:rsidR="00C95345" w:rsidRPr="00C95345" w:rsidRDefault="00C95345" w:rsidP="00C95345">
      <w:pPr>
        <w:numPr>
          <w:ilvl w:val="0"/>
          <w:numId w:val="12"/>
        </w:numPr>
      </w:pPr>
      <w:r w:rsidRPr="00C95345">
        <w:t>Activate financial assistance and support service programs to alleviate personal hardship arising from eligible disaster events.</w:t>
      </w:r>
    </w:p>
    <w:p w14:paraId="42FE8B47" w14:textId="77777777" w:rsidR="00C95345" w:rsidRPr="00C95345" w:rsidRDefault="00C95345" w:rsidP="00C95345">
      <w:pPr>
        <w:numPr>
          <w:ilvl w:val="0"/>
          <w:numId w:val="12"/>
        </w:numPr>
      </w:pPr>
      <w:r w:rsidRPr="00C95345">
        <w:t>Explore opportunities to secure investment that supports improved human and social recovery outcomes.</w:t>
      </w:r>
    </w:p>
    <w:p w14:paraId="3A3205DA" w14:textId="77777777" w:rsidR="00C95345" w:rsidRPr="00C95345" w:rsidRDefault="00C95345" w:rsidP="00C95345">
      <w:pPr>
        <w:numPr>
          <w:ilvl w:val="0"/>
          <w:numId w:val="12"/>
        </w:numPr>
      </w:pPr>
      <w:r w:rsidRPr="00C95345">
        <w:lastRenderedPageBreak/>
        <w:t>Work with all levels of government to simplify reporting requirements and reduce administrative burden on providers.</w:t>
      </w:r>
    </w:p>
    <w:p w14:paraId="2C174B9F" w14:textId="77777777" w:rsidR="00C95345" w:rsidRPr="00C95345" w:rsidRDefault="00C95345" w:rsidP="00C95345">
      <w:pPr>
        <w:numPr>
          <w:ilvl w:val="0"/>
          <w:numId w:val="12"/>
        </w:numPr>
      </w:pPr>
      <w:r w:rsidRPr="00C95345">
        <w:t>Deliver disaster preparedness education programs with a focus on vulnerable people.</w:t>
      </w:r>
    </w:p>
    <w:p w14:paraId="14BCDAEC" w14:textId="77777777" w:rsidR="00C95345" w:rsidRPr="00C95345" w:rsidRDefault="00C95345" w:rsidP="00C95345">
      <w:pPr>
        <w:numPr>
          <w:ilvl w:val="0"/>
          <w:numId w:val="12"/>
        </w:numPr>
      </w:pPr>
      <w:r w:rsidRPr="00C95345">
        <w:t>Conduct pre-season preparedness activities and continually improve service delivery through ongoing evaluation, including debriefs and post-action reviews.</w:t>
      </w:r>
    </w:p>
    <w:p w14:paraId="2C274024" w14:textId="77777777" w:rsidR="00C95345" w:rsidRPr="00C95345" w:rsidRDefault="00C95345" w:rsidP="00C95345">
      <w:pPr>
        <w:numPr>
          <w:ilvl w:val="0"/>
          <w:numId w:val="12"/>
        </w:numPr>
      </w:pPr>
      <w:r w:rsidRPr="00C95345">
        <w:t>Drive efficiencies in the management and delivery of human and social recovery services.</w:t>
      </w:r>
    </w:p>
    <w:p w14:paraId="1C729BB7" w14:textId="5EACB11C" w:rsidR="00C95345" w:rsidRDefault="00C95345" w:rsidP="00C95345">
      <w:pPr>
        <w:pStyle w:val="Heading2"/>
        <w:numPr>
          <w:ilvl w:val="0"/>
          <w:numId w:val="18"/>
        </w:numPr>
      </w:pPr>
      <w:r>
        <w:t xml:space="preserve">Building </w:t>
      </w:r>
      <w:r w:rsidR="00681AA4">
        <w:t>r</w:t>
      </w:r>
      <w:r>
        <w:t>esilience</w:t>
      </w:r>
    </w:p>
    <w:p w14:paraId="3CAF9BD4" w14:textId="76FB2976" w:rsidR="00C95345" w:rsidRPr="00C95345" w:rsidRDefault="00C95345" w:rsidP="00C95345">
      <w:r w:rsidRPr="00C95345">
        <w:t>Improving disaster resilience outcomes for individuals, families and communities experiencing cascading and/or concurrent events.</w:t>
      </w:r>
    </w:p>
    <w:p w14:paraId="37F9DAAC" w14:textId="77777777" w:rsidR="00C95345" w:rsidRPr="00C95345" w:rsidRDefault="00C95345" w:rsidP="00C95345">
      <w:pPr>
        <w:rPr>
          <w:b/>
          <w:bCs/>
        </w:rPr>
      </w:pPr>
      <w:r w:rsidRPr="00C95345">
        <w:rPr>
          <w:b/>
          <w:bCs/>
        </w:rPr>
        <w:t>Our actions</w:t>
      </w:r>
    </w:p>
    <w:p w14:paraId="38BEE078" w14:textId="77777777" w:rsidR="00C95345" w:rsidRPr="00C95345" w:rsidRDefault="00C95345" w:rsidP="00C95345">
      <w:pPr>
        <w:numPr>
          <w:ilvl w:val="0"/>
          <w:numId w:val="12"/>
        </w:numPr>
      </w:pPr>
      <w:r w:rsidRPr="00C95345">
        <w:t>Ensure seamless continuity between initial recovery responses and long-term recovery programs.</w:t>
      </w:r>
    </w:p>
    <w:p w14:paraId="0DB63895" w14:textId="77777777" w:rsidR="00C95345" w:rsidRPr="00C95345" w:rsidRDefault="00C95345" w:rsidP="00C95345">
      <w:pPr>
        <w:numPr>
          <w:ilvl w:val="0"/>
          <w:numId w:val="12"/>
        </w:numPr>
      </w:pPr>
      <w:r w:rsidRPr="00C95345">
        <w:t>Support and promote resilience initiatives for vulnerable people, local organisations and councils.</w:t>
      </w:r>
    </w:p>
    <w:p w14:paraId="22A56F91" w14:textId="77777777" w:rsidR="00C95345" w:rsidRPr="00C95345" w:rsidRDefault="00C95345" w:rsidP="00C95345">
      <w:pPr>
        <w:numPr>
          <w:ilvl w:val="0"/>
          <w:numId w:val="12"/>
        </w:numPr>
      </w:pPr>
      <w:r w:rsidRPr="00C95345">
        <w:t>Deliver disaster resilience-building support to frontline teams, service providers and recovery partners.</w:t>
      </w:r>
    </w:p>
    <w:p w14:paraId="3FB5D36F" w14:textId="77777777" w:rsidR="00C95345" w:rsidRPr="00C95345" w:rsidRDefault="00C95345" w:rsidP="00C95345">
      <w:pPr>
        <w:numPr>
          <w:ilvl w:val="0"/>
          <w:numId w:val="12"/>
        </w:numPr>
      </w:pPr>
      <w:r w:rsidRPr="00C95345">
        <w:t>Promote community awareness of disaster risks and provide accessible information for informed risk reduction decisions.</w:t>
      </w:r>
    </w:p>
    <w:p w14:paraId="3D7D2749" w14:textId="77777777" w:rsidR="00C95345" w:rsidRPr="00C95345" w:rsidRDefault="00C95345" w:rsidP="00C95345">
      <w:pPr>
        <w:numPr>
          <w:ilvl w:val="0"/>
          <w:numId w:val="12"/>
        </w:numPr>
      </w:pPr>
      <w:r w:rsidRPr="00C95345">
        <w:t>Support capacity and skills development across the sector to minimise the impacts of future disasters.</w:t>
      </w:r>
    </w:p>
    <w:p w14:paraId="0558ECD2" w14:textId="77777777" w:rsidR="00C95345" w:rsidRPr="00C95345" w:rsidRDefault="00C95345" w:rsidP="00C95345">
      <w:pPr>
        <w:pStyle w:val="Heading1"/>
      </w:pPr>
      <w:r w:rsidRPr="00C95345">
        <w:t>Governance</w:t>
      </w:r>
    </w:p>
    <w:p w14:paraId="3F81EAD6" w14:textId="77777777" w:rsidR="00C95345" w:rsidRPr="00C95345" w:rsidRDefault="00C95345" w:rsidP="00C95345">
      <w:r w:rsidRPr="00C95345">
        <w:t>The Department of Families, Seniors, Disability Services and Child Safety (DFSDSCS) is the lead agency responsible for overseeing the governance and implementation of the Human and Social Recovery and Resilience Plan.</w:t>
      </w:r>
    </w:p>
    <w:p w14:paraId="761AF692" w14:textId="77777777" w:rsidR="00C95345" w:rsidRPr="00C95345" w:rsidRDefault="00C95345" w:rsidP="00C95345">
      <w:r w:rsidRPr="00C95345">
        <w:t>Governance arrangements ensure effective implementation by aligning principles, objectives and actions with state and district-level coordination.</w:t>
      </w:r>
    </w:p>
    <w:p w14:paraId="0A9B4BD6" w14:textId="4BA21D3A" w:rsidR="00E72B19" w:rsidRPr="00E72B19" w:rsidRDefault="00E72B19" w:rsidP="00E72B19">
      <w:r w:rsidRPr="00E72B19">
        <w:t>The Plan requires engagement from all levels of government (</w:t>
      </w:r>
      <w:r>
        <w:t>l</w:t>
      </w:r>
      <w:r w:rsidRPr="00E72B19">
        <w:t xml:space="preserve">ocal, </w:t>
      </w:r>
      <w:r>
        <w:t>s</w:t>
      </w:r>
      <w:r w:rsidRPr="00E72B19">
        <w:t>tate</w:t>
      </w:r>
      <w:r>
        <w:t xml:space="preserve"> and f</w:t>
      </w:r>
      <w:r w:rsidRPr="00E72B19">
        <w:t>ederal)</w:t>
      </w:r>
      <w:r>
        <w:t>. T</w:t>
      </w:r>
      <w:r w:rsidRPr="00E72B19">
        <w:t xml:space="preserve">his occurs via different roles at each level. The local government advisor engages directly with the state government through the district disaster management group. This engagement and communication then </w:t>
      </w:r>
      <w:proofErr w:type="gramStart"/>
      <w:r w:rsidRPr="00E72B19">
        <w:t>feeds</w:t>
      </w:r>
      <w:proofErr w:type="gramEnd"/>
      <w:r w:rsidRPr="00E72B19">
        <w:t xml:space="preserve"> into the federal level via the State Human and Social Recovery and Resilience group, of which Community Recovery are the lead agency. </w:t>
      </w:r>
    </w:p>
    <w:p w14:paraId="7CE5EEDC" w14:textId="77777777" w:rsidR="00C95345" w:rsidRDefault="00C95345">
      <w:pPr>
        <w:spacing w:after="0"/>
        <w:rPr>
          <w:b/>
          <w:bCs/>
        </w:rPr>
      </w:pPr>
      <w:r>
        <w:rPr>
          <w:b/>
          <w:bCs/>
        </w:rPr>
        <w:br w:type="page"/>
      </w:r>
    </w:p>
    <w:p w14:paraId="5E038436" w14:textId="12C078C6" w:rsidR="00C95345" w:rsidRPr="00C95345" w:rsidRDefault="00C95345" w:rsidP="00C95345">
      <w:pPr>
        <w:pStyle w:val="Heading1"/>
      </w:pPr>
      <w:r w:rsidRPr="00C95345">
        <w:lastRenderedPageBreak/>
        <w:t>Strategic alignment</w:t>
      </w:r>
    </w:p>
    <w:p w14:paraId="47F4000E" w14:textId="77777777" w:rsidR="00C95345" w:rsidRPr="00C95345" w:rsidRDefault="00C95345" w:rsidP="00C95345">
      <w:r w:rsidRPr="00C95345">
        <w:t>The Human and Social Recovery and Resilience Plan 2025–28 aligns with and/or supports the following documents.</w:t>
      </w:r>
    </w:p>
    <w:p w14:paraId="76B2FD43" w14:textId="77777777" w:rsidR="00C95345" w:rsidRPr="00C95345" w:rsidRDefault="00C95345" w:rsidP="00C95345">
      <w:pPr>
        <w:rPr>
          <w:b/>
          <w:bCs/>
        </w:rPr>
      </w:pPr>
      <w:r w:rsidRPr="00C95345">
        <w:rPr>
          <w:b/>
          <w:bCs/>
        </w:rPr>
        <w:t>Queensland Government</w:t>
      </w:r>
    </w:p>
    <w:p w14:paraId="4BAAEDEC" w14:textId="1C99FA7E" w:rsidR="00C95345" w:rsidRPr="00C95345" w:rsidRDefault="00C95345" w:rsidP="00C95345">
      <w:pPr>
        <w:numPr>
          <w:ilvl w:val="0"/>
          <w:numId w:val="16"/>
        </w:numPr>
      </w:pPr>
      <w:hyperlink r:id="rId12" w:history="1">
        <w:r w:rsidRPr="00C95345">
          <w:rPr>
            <w:rStyle w:val="Hyperlink"/>
          </w:rPr>
          <w:t>Queensland Disaster Management Act 2003</w:t>
        </w:r>
      </w:hyperlink>
    </w:p>
    <w:p w14:paraId="777656DD" w14:textId="4A069F6D" w:rsidR="00C95345" w:rsidRPr="00C95345" w:rsidRDefault="00C95345" w:rsidP="00C95345">
      <w:pPr>
        <w:numPr>
          <w:ilvl w:val="0"/>
          <w:numId w:val="16"/>
        </w:numPr>
      </w:pPr>
      <w:hyperlink r:id="rId13" w:history="1">
        <w:r w:rsidRPr="00C95345">
          <w:rPr>
            <w:rStyle w:val="Hyperlink"/>
          </w:rPr>
          <w:t>Interim Queensland State Disaster Management Plan 2024–25</w:t>
        </w:r>
      </w:hyperlink>
    </w:p>
    <w:p w14:paraId="11EF5E37" w14:textId="4137A9DB" w:rsidR="00C95345" w:rsidRPr="00C95345" w:rsidRDefault="00C95345" w:rsidP="00C95345">
      <w:pPr>
        <w:numPr>
          <w:ilvl w:val="1"/>
          <w:numId w:val="16"/>
        </w:numPr>
      </w:pPr>
      <w:hyperlink r:id="rId14" w:history="1">
        <w:r w:rsidRPr="00C95345">
          <w:rPr>
            <w:rStyle w:val="Hyperlink"/>
          </w:rPr>
          <w:t>2023–24 Queensland State Recovery and Resilience Plan</w:t>
        </w:r>
      </w:hyperlink>
    </w:p>
    <w:p w14:paraId="26FE1642" w14:textId="4A3DA5E2" w:rsidR="00C95345" w:rsidRPr="00C95345" w:rsidRDefault="00C95345" w:rsidP="00C95345">
      <w:pPr>
        <w:numPr>
          <w:ilvl w:val="1"/>
          <w:numId w:val="16"/>
        </w:numPr>
      </w:pPr>
      <w:hyperlink r:id="rId15" w:history="1">
        <w:r w:rsidRPr="00C95345">
          <w:rPr>
            <w:rStyle w:val="Hyperlink"/>
          </w:rPr>
          <w:t>Queensland Recovery Plan</w:t>
        </w:r>
      </w:hyperlink>
      <w:r w:rsidRPr="00C95345">
        <w:t xml:space="preserve"> (sub-plan to the Queensland State Disaster Management Plan)</w:t>
      </w:r>
    </w:p>
    <w:p w14:paraId="7CA8B73E" w14:textId="181C0F0D" w:rsidR="00C95345" w:rsidRPr="00C95345" w:rsidRDefault="00C95345" w:rsidP="00C95345">
      <w:pPr>
        <w:numPr>
          <w:ilvl w:val="0"/>
          <w:numId w:val="16"/>
        </w:numPr>
      </w:pPr>
      <w:hyperlink r:id="rId16" w:history="1">
        <w:r w:rsidRPr="00C95345">
          <w:rPr>
            <w:rStyle w:val="Hyperlink"/>
          </w:rPr>
          <w:t>Queensland Strategy for Disaster Resilience</w:t>
        </w:r>
      </w:hyperlink>
    </w:p>
    <w:p w14:paraId="6F8ABA7C" w14:textId="623B4B1C" w:rsidR="00C95345" w:rsidRDefault="00C95345" w:rsidP="00C95345">
      <w:pPr>
        <w:numPr>
          <w:ilvl w:val="0"/>
          <w:numId w:val="16"/>
        </w:numPr>
      </w:pPr>
      <w:hyperlink r:id="rId17" w:history="1">
        <w:r w:rsidRPr="00C95345">
          <w:rPr>
            <w:rStyle w:val="Hyperlink"/>
          </w:rPr>
          <w:t>Interim Queensland Prevention, Preparedness, Response and Recovery Disaster Management Guideline 2024–25</w:t>
        </w:r>
      </w:hyperlink>
    </w:p>
    <w:p w14:paraId="382115B7" w14:textId="73A94616" w:rsidR="00C95345" w:rsidRPr="00C95345" w:rsidRDefault="00C95345" w:rsidP="00C95345">
      <w:pPr>
        <w:numPr>
          <w:ilvl w:val="0"/>
          <w:numId w:val="16"/>
        </w:numPr>
      </w:pPr>
      <w:hyperlink r:id="rId18" w:history="1">
        <w:r w:rsidRPr="00C95345">
          <w:rPr>
            <w:rStyle w:val="Hyperlink"/>
          </w:rPr>
          <w:t>Standard for Disaster Management in Queensland</w:t>
        </w:r>
      </w:hyperlink>
    </w:p>
    <w:p w14:paraId="2F56685A" w14:textId="5F00D3C9" w:rsidR="00C95345" w:rsidRDefault="00C95345" w:rsidP="00C95345">
      <w:pPr>
        <w:numPr>
          <w:ilvl w:val="0"/>
          <w:numId w:val="16"/>
        </w:numPr>
      </w:pPr>
      <w:hyperlink r:id="rId19" w:history="1">
        <w:r w:rsidRPr="00C95345">
          <w:rPr>
            <w:rStyle w:val="Hyperlink"/>
          </w:rPr>
          <w:t>Queensland Government objectives</w:t>
        </w:r>
      </w:hyperlink>
      <w:r w:rsidRPr="00C95345">
        <w:t xml:space="preserve">: </w:t>
      </w:r>
    </w:p>
    <w:p w14:paraId="653F572E" w14:textId="221371D0" w:rsidR="00C95345" w:rsidRDefault="00C95345" w:rsidP="00C95345">
      <w:pPr>
        <w:numPr>
          <w:ilvl w:val="1"/>
          <w:numId w:val="16"/>
        </w:numPr>
      </w:pPr>
      <w:r w:rsidRPr="00C95345">
        <w:t>Safety where you live</w:t>
      </w:r>
    </w:p>
    <w:p w14:paraId="684AF242" w14:textId="20EDFE3E" w:rsidR="00C95345" w:rsidRPr="00C95345" w:rsidRDefault="00C95345" w:rsidP="00C95345">
      <w:pPr>
        <w:numPr>
          <w:ilvl w:val="1"/>
          <w:numId w:val="16"/>
        </w:numPr>
      </w:pPr>
      <w:r w:rsidRPr="00C95345">
        <w:t>A better lifestyle through a stronger economy</w:t>
      </w:r>
    </w:p>
    <w:p w14:paraId="1E3CB395" w14:textId="54689105" w:rsidR="00C95345" w:rsidRPr="00C95345" w:rsidRDefault="00C95345" w:rsidP="00C95345">
      <w:pPr>
        <w:numPr>
          <w:ilvl w:val="0"/>
          <w:numId w:val="16"/>
        </w:numPr>
      </w:pPr>
      <w:hyperlink r:id="rId20" w:history="1">
        <w:r w:rsidRPr="00C95345">
          <w:rPr>
            <w:rStyle w:val="Hyperlink"/>
          </w:rPr>
          <w:t>Department of Families, Seniors, Disability Services and Child Safety Strategic Plan</w:t>
        </w:r>
      </w:hyperlink>
    </w:p>
    <w:p w14:paraId="19C21A4C" w14:textId="718D7D6A" w:rsidR="00C95345" w:rsidRPr="00C95345" w:rsidRDefault="00C95345" w:rsidP="00C95345">
      <w:pPr>
        <w:numPr>
          <w:ilvl w:val="1"/>
          <w:numId w:val="16"/>
        </w:numPr>
      </w:pPr>
      <w:hyperlink r:id="rId21" w:history="1">
        <w:r w:rsidRPr="00C95345">
          <w:rPr>
            <w:rStyle w:val="Hyperlink"/>
          </w:rPr>
          <w:t>People with vulnerabilities in disasters framework</w:t>
        </w:r>
      </w:hyperlink>
    </w:p>
    <w:p w14:paraId="46778DCE" w14:textId="77777777" w:rsidR="00C95345" w:rsidRPr="00C95345" w:rsidRDefault="00C95345" w:rsidP="00C95345">
      <w:pPr>
        <w:rPr>
          <w:b/>
          <w:bCs/>
        </w:rPr>
      </w:pPr>
      <w:r w:rsidRPr="00C95345">
        <w:rPr>
          <w:b/>
          <w:bCs/>
        </w:rPr>
        <w:t>Australian Government</w:t>
      </w:r>
    </w:p>
    <w:p w14:paraId="7387FA84" w14:textId="4A775C55" w:rsidR="00C95345" w:rsidRPr="00C95345" w:rsidRDefault="00C95345" w:rsidP="00C95345">
      <w:pPr>
        <w:numPr>
          <w:ilvl w:val="0"/>
          <w:numId w:val="17"/>
        </w:numPr>
      </w:pPr>
      <w:hyperlink r:id="rId22" w:history="1">
        <w:r w:rsidRPr="00C95345">
          <w:rPr>
            <w:rStyle w:val="Hyperlink"/>
          </w:rPr>
          <w:t>Australian Disaster Recovery Framework</w:t>
        </w:r>
      </w:hyperlink>
    </w:p>
    <w:p w14:paraId="42A27C42" w14:textId="6DE12FAF" w:rsidR="00C95345" w:rsidRPr="00C95345" w:rsidRDefault="00C95345" w:rsidP="00C95345">
      <w:pPr>
        <w:numPr>
          <w:ilvl w:val="0"/>
          <w:numId w:val="17"/>
        </w:numPr>
      </w:pPr>
      <w:hyperlink r:id="rId23" w:history="1">
        <w:r w:rsidRPr="00C95345">
          <w:rPr>
            <w:rStyle w:val="Hyperlink"/>
          </w:rPr>
          <w:t>National Principles for Disaster Recovery</w:t>
        </w:r>
      </w:hyperlink>
    </w:p>
    <w:p w14:paraId="6E85D5CD" w14:textId="64EBFAF0" w:rsidR="00C95345" w:rsidRPr="00C95345" w:rsidRDefault="00C95345" w:rsidP="00C95345">
      <w:pPr>
        <w:numPr>
          <w:ilvl w:val="0"/>
          <w:numId w:val="17"/>
        </w:numPr>
      </w:pPr>
      <w:hyperlink r:id="rId24" w:history="1">
        <w:r w:rsidRPr="00C95345">
          <w:rPr>
            <w:rStyle w:val="Hyperlink"/>
          </w:rPr>
          <w:t>National Strategy for Disaster Resilience</w:t>
        </w:r>
      </w:hyperlink>
    </w:p>
    <w:p w14:paraId="1F6813E8" w14:textId="000A116A" w:rsidR="00C95345" w:rsidRPr="00C95345" w:rsidRDefault="00C95345" w:rsidP="00C95345">
      <w:pPr>
        <w:numPr>
          <w:ilvl w:val="0"/>
          <w:numId w:val="17"/>
        </w:numPr>
      </w:pPr>
      <w:hyperlink r:id="rId25" w:history="1">
        <w:r w:rsidRPr="00C95345">
          <w:rPr>
            <w:rStyle w:val="Hyperlink"/>
          </w:rPr>
          <w:t>National Disaster Risk Reduction Framework</w:t>
        </w:r>
      </w:hyperlink>
    </w:p>
    <w:p w14:paraId="76D07DA0" w14:textId="77777777" w:rsidR="00C95345" w:rsidRPr="00C95345" w:rsidRDefault="00C95345" w:rsidP="00C95345">
      <w:pPr>
        <w:pStyle w:val="Heading1"/>
      </w:pPr>
      <w:r w:rsidRPr="00C95345">
        <w:t>Lessons management</w:t>
      </w:r>
    </w:p>
    <w:p w14:paraId="377054DE" w14:textId="77777777" w:rsidR="00C95345" w:rsidRPr="00C95345" w:rsidRDefault="00C95345" w:rsidP="00C95345">
      <w:r w:rsidRPr="00C95345">
        <w:t>The Human and Social Recovery and Resilience Plan 2025–28 follows the Australian Institute for Disaster Resilience’s principles for managing lessons, focusing on collecting, analysing, sharing and applying past lived experiences.</w:t>
      </w:r>
    </w:p>
    <w:p w14:paraId="6B74984B" w14:textId="77777777" w:rsidR="00C95345" w:rsidRPr="00C95345" w:rsidRDefault="00C95345" w:rsidP="00C95345">
      <w:r w:rsidRPr="00C95345">
        <w:t>Learning from previous disasters strengthens preparedness, response and recovery by identifying gaps, improving practices, enhancing community resilience and informing decision-making. This supports continuous improvement in organisational capability and individual learning.</w:t>
      </w:r>
    </w:p>
    <w:p w14:paraId="3DA88959" w14:textId="25E464E4" w:rsidR="00C97445" w:rsidRPr="006672F0" w:rsidRDefault="00C95345" w:rsidP="006672F0">
      <w:r w:rsidRPr="00C95345">
        <w:t>Approved December 2025</w:t>
      </w:r>
    </w:p>
    <w:sectPr w:rsidR="00C97445" w:rsidRPr="006672F0" w:rsidSect="006672F0">
      <w:headerReference w:type="default" r:id="rId26"/>
      <w:footerReference w:type="default" r:id="rId27"/>
      <w:headerReference w:type="first" r:id="rId28"/>
      <w:footerReference w:type="first" r:id="rId29"/>
      <w:type w:val="continuous"/>
      <w:pgSz w:w="11906" w:h="16838" w:code="9"/>
      <w:pgMar w:top="992" w:right="709" w:bottom="879" w:left="709"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3BA9" w14:textId="77777777" w:rsidR="00C95345" w:rsidRDefault="00C95345" w:rsidP="00190C24">
      <w:r>
        <w:separator/>
      </w:r>
    </w:p>
  </w:endnote>
  <w:endnote w:type="continuationSeparator" w:id="0">
    <w:p w14:paraId="7484C604" w14:textId="77777777" w:rsidR="00C95345" w:rsidRDefault="00C95345"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MetaPro-Norm">
    <w:altName w:val="Calibri"/>
    <w:charset w:val="00"/>
    <w:family w:val="swiss"/>
    <w:pitch w:val="variable"/>
    <w:sig w:usb0="A00002FF" w:usb1="4000207B" w:usb2="00000000" w:usb3="00000000" w:csb0="0000009F" w:csb1="00000000"/>
  </w:font>
  <w:font w:name="Noto Sans Black">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5698" w14:textId="720A3F8D" w:rsidR="00AD6FBE" w:rsidRDefault="00AD6FBE" w:rsidP="00C97445">
    <w:pPr>
      <w:jc w:val="center"/>
      <w:rPr>
        <w:lang w:val="en-GB"/>
      </w:rPr>
    </w:pPr>
    <w:r>
      <w:rPr>
        <w:noProof/>
        <w:lang w:val="en-US"/>
      </w:rPr>
      <mc:AlternateContent>
        <mc:Choice Requires="wps">
          <w:drawing>
            <wp:anchor distT="0" distB="0" distL="114300" distR="114300" simplePos="0" relativeHeight="251667456" behindDoc="0" locked="0" layoutInCell="1" allowOverlap="1" wp14:anchorId="56302BC3" wp14:editId="110BB7C0">
              <wp:simplePos x="0" y="0"/>
              <wp:positionH relativeFrom="column">
                <wp:posOffset>-462337</wp:posOffset>
              </wp:positionH>
              <wp:positionV relativeFrom="paragraph">
                <wp:posOffset>133564</wp:posOffset>
              </wp:positionV>
              <wp:extent cx="7569200" cy="0"/>
              <wp:effectExtent l="0" t="0" r="12700" b="12700"/>
              <wp:wrapNone/>
              <wp:docPr id="1335376278" name="Straight Connector 5"/>
              <wp:cNvGraphicFramePr/>
              <a:graphic xmlns:a="http://schemas.openxmlformats.org/drawingml/2006/main">
                <a:graphicData uri="http://schemas.microsoft.com/office/word/2010/wordprocessingShape">
                  <wps:wsp>
                    <wps:cNvCnPr/>
                    <wps:spPr>
                      <a:xfrm>
                        <a:off x="0" y="0"/>
                        <a:ext cx="7569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BFDBA4"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4pt,10.5pt" to="559.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" strokecolor="#005eb8 [3213]" strokeweight=".5pt">
              <v:stroke joinstyle="miter"/>
            </v:line>
          </w:pict>
        </mc:Fallback>
      </mc:AlternateContent>
    </w:r>
    <w:r w:rsidR="00C95345">
      <w:rPr>
        <w:lang w:val="en-GB"/>
      </w:rPr>
      <w:t>-</w:t>
    </w:r>
  </w:p>
  <w:p w14:paraId="1992B553" w14:textId="77777777" w:rsidR="000E1223" w:rsidRDefault="00C97445" w:rsidP="00C97445">
    <w:pPr>
      <w:jc w:val="center"/>
    </w:pPr>
    <w:r>
      <w:rPr>
        <w:lang w:val="en-GB"/>
      </w:rPr>
      <w:t xml:space="preserve">- </w:t>
    </w:r>
    <w:r>
      <w:rPr>
        <w:lang w:val="en-GB"/>
      </w:rPr>
      <w:fldChar w:fldCharType="begin"/>
    </w:r>
    <w:r>
      <w:rPr>
        <w:lang w:val="en-GB"/>
      </w:rPr>
      <w:instrText xml:space="preserve"> PAGE </w:instrText>
    </w:r>
    <w:r>
      <w:rPr>
        <w:lang w:val="en-GB"/>
      </w:rPr>
      <w:fldChar w:fldCharType="separate"/>
    </w:r>
    <w:r>
      <w:rPr>
        <w:noProof/>
        <w:lang w:val="en-GB"/>
      </w:rPr>
      <w:t>2</w:t>
    </w:r>
    <w:r>
      <w:rPr>
        <w:lang w:val="en-GB"/>
      </w:rPr>
      <w:fldChar w:fldCharType="end"/>
    </w:r>
    <w:r>
      <w:rPr>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4124" w14:textId="77777777" w:rsidR="00C97445" w:rsidRDefault="00C97445">
    <w:pPr>
      <w:pStyle w:val="Footer"/>
    </w:pPr>
    <w:r>
      <w:rPr>
        <w:noProof/>
      </w:rPr>
      <w:drawing>
        <wp:anchor distT="0" distB="0" distL="114300" distR="114300" simplePos="0" relativeHeight="251663360" behindDoc="1" locked="1" layoutInCell="1" allowOverlap="1" wp14:anchorId="73C7046B" wp14:editId="350184A4">
          <wp:simplePos x="0" y="0"/>
          <wp:positionH relativeFrom="column">
            <wp:posOffset>-459105</wp:posOffset>
          </wp:positionH>
          <wp:positionV relativeFrom="page">
            <wp:posOffset>9669145</wp:posOffset>
          </wp:positionV>
          <wp:extent cx="7559675" cy="1022350"/>
          <wp:effectExtent l="0" t="0" r="0" b="6350"/>
          <wp:wrapNone/>
          <wp:docPr id="138000954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0954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22350"/>
                  </a:xfrm>
                  <a:prstGeom prst="rect">
                    <a:avLst/>
                  </a:prstGeom>
                </pic:spPr>
              </pic:pic>
            </a:graphicData>
          </a:graphic>
          <wp14:sizeRelH relativeFrom="margin">
            <wp14:pctWidth>0</wp14:pctWidth>
          </wp14:sizeRelH>
          <wp14:sizeRelV relativeFrom="margin">
            <wp14:pctHeight>0</wp14:pctHeight>
          </wp14:sizeRelV>
        </wp:anchor>
      </w:drawing>
    </w:r>
  </w:p>
  <w:p w14:paraId="3A38B9C0" w14:textId="77777777" w:rsidR="00C97445" w:rsidRDefault="00C97445">
    <w:pPr>
      <w:pStyle w:val="Footer"/>
    </w:pPr>
  </w:p>
  <w:p w14:paraId="2D3AD304" w14:textId="77777777" w:rsidR="00C97445" w:rsidRDefault="00C9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4240" w14:textId="77777777" w:rsidR="00C95345" w:rsidRDefault="00C95345" w:rsidP="00190C24">
      <w:r>
        <w:separator/>
      </w:r>
    </w:p>
  </w:footnote>
  <w:footnote w:type="continuationSeparator" w:id="0">
    <w:p w14:paraId="33ADC2A4" w14:textId="77777777" w:rsidR="00C95345" w:rsidRDefault="00C95345"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219A" w14:textId="1562FB5A" w:rsidR="00C97445" w:rsidRPr="00FC3EAC" w:rsidRDefault="00C97445" w:rsidP="00C97445">
    <w:pPr>
      <w:pStyle w:val="Header"/>
      <w:rPr>
        <w:vertAlign w:val="subscript"/>
        <w:lang w:val="en-US"/>
      </w:rPr>
    </w:pPr>
    <w:r>
      <w:rPr>
        <w:noProof/>
        <w:lang w:val="en-US"/>
      </w:rPr>
      <mc:AlternateContent>
        <mc:Choice Requires="wps">
          <w:drawing>
            <wp:anchor distT="0" distB="0" distL="114300" distR="114300" simplePos="0" relativeHeight="251665408" behindDoc="0" locked="0" layoutInCell="1" allowOverlap="1" wp14:anchorId="359BC64B" wp14:editId="3412F43A">
              <wp:simplePos x="0" y="0"/>
              <wp:positionH relativeFrom="column">
                <wp:posOffset>-457200</wp:posOffset>
              </wp:positionH>
              <wp:positionV relativeFrom="paragraph">
                <wp:posOffset>241990</wp:posOffset>
              </wp:positionV>
              <wp:extent cx="7569200" cy="0"/>
              <wp:effectExtent l="0" t="0" r="12700" b="12700"/>
              <wp:wrapNone/>
              <wp:docPr id="309871847" name="Straight Connector 5"/>
              <wp:cNvGraphicFramePr/>
              <a:graphic xmlns:a="http://schemas.openxmlformats.org/drawingml/2006/main">
                <a:graphicData uri="http://schemas.microsoft.com/office/word/2010/wordprocessingShape">
                  <wps:wsp>
                    <wps:cNvCnPr/>
                    <wps:spPr>
                      <a:xfrm>
                        <a:off x="0" y="0"/>
                        <a:ext cx="7569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948C99"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pt,19.05pt" to="560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" strokecolor="#005eb8 [3213]" strokeweight=".5pt">
              <v:stroke joinstyle="miter"/>
            </v:line>
          </w:pict>
        </mc:Fallback>
      </mc:AlternateContent>
    </w:r>
    <w:r w:rsidR="00C95345">
      <w:rPr>
        <w:lang w:val="en-US"/>
      </w:rPr>
      <w:t>Human and Social Recovery and Resilience Plan 2025-28</w:t>
    </w:r>
  </w:p>
  <w:p w14:paraId="7EF5E35D" w14:textId="77777777" w:rsidR="00555C3B" w:rsidRPr="00555C3B" w:rsidRDefault="00555C3B" w:rsidP="00C97445">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5D8E" w14:textId="77777777" w:rsidR="00C97445" w:rsidRDefault="00C97445" w:rsidP="00273E87">
    <w:pPr>
      <w:pStyle w:val="Header"/>
      <w:tabs>
        <w:tab w:val="clear" w:pos="4513"/>
        <w:tab w:val="clear" w:pos="9026"/>
        <w:tab w:val="left" w:pos="3200"/>
      </w:tabs>
    </w:pPr>
  </w:p>
  <w:p w14:paraId="74A1CDF3" w14:textId="77777777" w:rsidR="00C97445" w:rsidRDefault="00C97445" w:rsidP="00273E87">
    <w:pPr>
      <w:pStyle w:val="Header"/>
      <w:tabs>
        <w:tab w:val="clear" w:pos="4513"/>
        <w:tab w:val="clear" w:pos="9026"/>
        <w:tab w:val="left" w:pos="3200"/>
      </w:tabs>
    </w:pPr>
    <w:r>
      <w:rPr>
        <w:noProof/>
      </w:rPr>
      <w:drawing>
        <wp:anchor distT="0" distB="0" distL="114300" distR="114300" simplePos="0" relativeHeight="251662336" behindDoc="1" locked="1" layoutInCell="1" allowOverlap="1" wp14:anchorId="09950769" wp14:editId="354A05A3">
          <wp:simplePos x="0" y="0"/>
          <wp:positionH relativeFrom="column">
            <wp:posOffset>-457200</wp:posOffset>
          </wp:positionH>
          <wp:positionV relativeFrom="page">
            <wp:posOffset>17145</wp:posOffset>
          </wp:positionV>
          <wp:extent cx="7559675" cy="1803400"/>
          <wp:effectExtent l="0" t="0" r="0" b="0"/>
          <wp:wrapNone/>
          <wp:docPr id="8859963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963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803400"/>
                  </a:xfrm>
                  <a:prstGeom prst="rect">
                    <a:avLst/>
                  </a:prstGeom>
                </pic:spPr>
              </pic:pic>
            </a:graphicData>
          </a:graphic>
          <wp14:sizeRelH relativeFrom="margin">
            <wp14:pctWidth>0</wp14:pctWidth>
          </wp14:sizeRelH>
          <wp14:sizeRelV relativeFrom="margin">
            <wp14:pctHeight>0</wp14:pctHeight>
          </wp14:sizeRelV>
        </wp:anchor>
      </w:drawing>
    </w:r>
  </w:p>
  <w:p w14:paraId="7E66DA69" w14:textId="77777777" w:rsidR="00C97445" w:rsidRDefault="00C97445" w:rsidP="00273E87">
    <w:pPr>
      <w:pStyle w:val="Header"/>
      <w:tabs>
        <w:tab w:val="clear" w:pos="4513"/>
        <w:tab w:val="clear" w:pos="9026"/>
        <w:tab w:val="left" w:pos="3200"/>
      </w:tabs>
    </w:pPr>
  </w:p>
  <w:p w14:paraId="4AD5E727" w14:textId="77777777" w:rsidR="00C97445" w:rsidRDefault="00C97445" w:rsidP="00273E87">
    <w:pPr>
      <w:pStyle w:val="Header"/>
      <w:tabs>
        <w:tab w:val="clear" w:pos="4513"/>
        <w:tab w:val="clear" w:pos="9026"/>
        <w:tab w:val="left" w:pos="3200"/>
      </w:tabs>
    </w:pPr>
  </w:p>
  <w:p w14:paraId="0B11AA7F" w14:textId="77777777" w:rsidR="00C97445" w:rsidRDefault="00C97445" w:rsidP="00273E87">
    <w:pPr>
      <w:pStyle w:val="Header"/>
      <w:tabs>
        <w:tab w:val="clear" w:pos="4513"/>
        <w:tab w:val="clear" w:pos="9026"/>
        <w:tab w:val="left" w:pos="3200"/>
      </w:tabs>
    </w:pPr>
  </w:p>
  <w:p w14:paraId="3FC6901F" w14:textId="77777777" w:rsidR="0014521E" w:rsidRDefault="0014521E" w:rsidP="00273E87">
    <w:pPr>
      <w:pStyle w:val="Header"/>
      <w:tabs>
        <w:tab w:val="clear" w:pos="4513"/>
        <w:tab w:val="clear" w:pos="9026"/>
        <w:tab w:val="left" w:pos="3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9DA0FA8"/>
    <w:multiLevelType w:val="multilevel"/>
    <w:tmpl w:val="9B24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3124E"/>
    <w:multiLevelType w:val="multilevel"/>
    <w:tmpl w:val="D46C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D70AD"/>
    <w:multiLevelType w:val="multilevel"/>
    <w:tmpl w:val="D25EE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C3D88"/>
    <w:multiLevelType w:val="hybridMultilevel"/>
    <w:tmpl w:val="747C4998"/>
    <w:lvl w:ilvl="0" w:tplc="82ECF7D2">
      <w:start w:val="1"/>
      <w:numFmt w:val="bullet"/>
      <w:pStyle w:val="ListParagraph"/>
      <w:lvlText w:val=""/>
      <w:lvlJc w:val="left"/>
      <w:pPr>
        <w:ind w:left="720" w:hanging="360"/>
      </w:pPr>
      <w:rPr>
        <w:rFonts w:ascii="Symbol" w:hAnsi="Symbol" w:hint="default"/>
      </w:rPr>
    </w:lvl>
    <w:lvl w:ilvl="1" w:tplc="D44ABC1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70C2A"/>
    <w:multiLevelType w:val="multilevel"/>
    <w:tmpl w:val="D06C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C20BD"/>
    <w:multiLevelType w:val="hybridMultilevel"/>
    <w:tmpl w:val="499C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4DDD5319"/>
    <w:multiLevelType w:val="multilevel"/>
    <w:tmpl w:val="74EA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906CA"/>
    <w:multiLevelType w:val="hybridMultilevel"/>
    <w:tmpl w:val="7EBA163C"/>
    <w:lvl w:ilvl="0" w:tplc="FFFFFFFF">
      <w:start w:val="1"/>
      <w:numFmt w:val="bullet"/>
      <w:lvlText w:val=""/>
      <w:lvlJc w:val="left"/>
      <w:pPr>
        <w:ind w:left="720" w:hanging="360"/>
      </w:pPr>
      <w:rPr>
        <w:rFonts w:ascii="Symbol" w:hAnsi="Symbol" w:hint="default"/>
      </w:rPr>
    </w:lvl>
    <w:lvl w:ilvl="1" w:tplc="C7742502">
      <w:start w:val="1"/>
      <w:numFmt w:val="bullet"/>
      <w:pStyle w:val="Bullet2"/>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8375F"/>
    <w:multiLevelType w:val="hybridMultilevel"/>
    <w:tmpl w:val="46BC0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DBB7264"/>
    <w:multiLevelType w:val="hybridMultilevel"/>
    <w:tmpl w:val="008E9C6E"/>
    <w:lvl w:ilvl="0" w:tplc="1422D52E">
      <w:numFmt w:val="bullet"/>
      <w:lvlText w:val="•"/>
      <w:lvlJc w:val="left"/>
      <w:pPr>
        <w:ind w:left="1080" w:hanging="720"/>
      </w:pPr>
      <w:rPr>
        <w:rFonts w:ascii="Noto Sans" w:eastAsiaTheme="minorEastAsia"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DC2CCC"/>
    <w:multiLevelType w:val="multilevel"/>
    <w:tmpl w:val="7344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02511">
    <w:abstractNumId w:val="1"/>
  </w:num>
  <w:num w:numId="2" w16cid:durableId="800348836">
    <w:abstractNumId w:val="9"/>
  </w:num>
  <w:num w:numId="3" w16cid:durableId="424690506">
    <w:abstractNumId w:val="6"/>
  </w:num>
  <w:num w:numId="4" w16cid:durableId="1352219071">
    <w:abstractNumId w:val="0"/>
  </w:num>
  <w:num w:numId="5" w16cid:durableId="688750406">
    <w:abstractNumId w:val="16"/>
  </w:num>
  <w:num w:numId="6" w16cid:durableId="1022130639">
    <w:abstractNumId w:val="15"/>
  </w:num>
  <w:num w:numId="7" w16cid:durableId="1282805254">
    <w:abstractNumId w:val="5"/>
  </w:num>
  <w:num w:numId="8" w16cid:durableId="449936833">
    <w:abstractNumId w:val="12"/>
  </w:num>
  <w:num w:numId="9" w16cid:durableId="2027514487">
    <w:abstractNumId w:val="8"/>
  </w:num>
  <w:num w:numId="10" w16cid:durableId="477697782">
    <w:abstractNumId w:val="14"/>
  </w:num>
  <w:num w:numId="11" w16cid:durableId="552157132">
    <w:abstractNumId w:val="11"/>
  </w:num>
  <w:num w:numId="12" w16cid:durableId="693577670">
    <w:abstractNumId w:val="3"/>
  </w:num>
  <w:num w:numId="13" w16cid:durableId="1988167747">
    <w:abstractNumId w:val="2"/>
  </w:num>
  <w:num w:numId="14" w16cid:durableId="402802508">
    <w:abstractNumId w:val="7"/>
  </w:num>
  <w:num w:numId="15" w16cid:durableId="1235355221">
    <w:abstractNumId w:val="17"/>
  </w:num>
  <w:num w:numId="16" w16cid:durableId="207110563">
    <w:abstractNumId w:val="4"/>
  </w:num>
  <w:num w:numId="17" w16cid:durableId="1093012812">
    <w:abstractNumId w:val="10"/>
  </w:num>
  <w:num w:numId="18" w16cid:durableId="804859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45"/>
    <w:rsid w:val="00003124"/>
    <w:rsid w:val="00007985"/>
    <w:rsid w:val="0002155B"/>
    <w:rsid w:val="000425F7"/>
    <w:rsid w:val="000436FC"/>
    <w:rsid w:val="0005471A"/>
    <w:rsid w:val="00066E58"/>
    <w:rsid w:val="000A26C9"/>
    <w:rsid w:val="000B61AC"/>
    <w:rsid w:val="000C6874"/>
    <w:rsid w:val="000E1223"/>
    <w:rsid w:val="000F4E58"/>
    <w:rsid w:val="000F7FDE"/>
    <w:rsid w:val="001000FC"/>
    <w:rsid w:val="00101904"/>
    <w:rsid w:val="0011122C"/>
    <w:rsid w:val="001206C4"/>
    <w:rsid w:val="001222EA"/>
    <w:rsid w:val="00134EFF"/>
    <w:rsid w:val="0014521E"/>
    <w:rsid w:val="00190C24"/>
    <w:rsid w:val="001C11D2"/>
    <w:rsid w:val="001C43F0"/>
    <w:rsid w:val="001E70E9"/>
    <w:rsid w:val="001F2B12"/>
    <w:rsid w:val="001F3A36"/>
    <w:rsid w:val="00227C27"/>
    <w:rsid w:val="002371F7"/>
    <w:rsid w:val="0024520B"/>
    <w:rsid w:val="002706E8"/>
    <w:rsid w:val="00273E87"/>
    <w:rsid w:val="002B15E5"/>
    <w:rsid w:val="002B5219"/>
    <w:rsid w:val="002B7607"/>
    <w:rsid w:val="002C3A02"/>
    <w:rsid w:val="002C47FC"/>
    <w:rsid w:val="002D2D4F"/>
    <w:rsid w:val="002E1B2E"/>
    <w:rsid w:val="002E3E34"/>
    <w:rsid w:val="002F78A2"/>
    <w:rsid w:val="00320670"/>
    <w:rsid w:val="00332369"/>
    <w:rsid w:val="00337EAA"/>
    <w:rsid w:val="00355E78"/>
    <w:rsid w:val="00356530"/>
    <w:rsid w:val="0038096F"/>
    <w:rsid w:val="00385A56"/>
    <w:rsid w:val="00396D5E"/>
    <w:rsid w:val="003975D2"/>
    <w:rsid w:val="003B361F"/>
    <w:rsid w:val="003B5BAA"/>
    <w:rsid w:val="003C33FE"/>
    <w:rsid w:val="003D33F7"/>
    <w:rsid w:val="003D540F"/>
    <w:rsid w:val="003E5C52"/>
    <w:rsid w:val="003F643A"/>
    <w:rsid w:val="00402CFC"/>
    <w:rsid w:val="00403EF1"/>
    <w:rsid w:val="00404BCA"/>
    <w:rsid w:val="00416A49"/>
    <w:rsid w:val="00442FE1"/>
    <w:rsid w:val="004468D2"/>
    <w:rsid w:val="00454794"/>
    <w:rsid w:val="004562DA"/>
    <w:rsid w:val="00476A07"/>
    <w:rsid w:val="004A1F8B"/>
    <w:rsid w:val="004A2733"/>
    <w:rsid w:val="004A5E19"/>
    <w:rsid w:val="004E5A25"/>
    <w:rsid w:val="004E62A1"/>
    <w:rsid w:val="00540992"/>
    <w:rsid w:val="00540A1E"/>
    <w:rsid w:val="00543A32"/>
    <w:rsid w:val="00555585"/>
    <w:rsid w:val="0055582F"/>
    <w:rsid w:val="00555C3B"/>
    <w:rsid w:val="005A28EB"/>
    <w:rsid w:val="005B0EC5"/>
    <w:rsid w:val="005B79A8"/>
    <w:rsid w:val="005C68D9"/>
    <w:rsid w:val="005F4331"/>
    <w:rsid w:val="005F7E6D"/>
    <w:rsid w:val="0062040F"/>
    <w:rsid w:val="00622A02"/>
    <w:rsid w:val="006239A5"/>
    <w:rsid w:val="00626BF3"/>
    <w:rsid w:val="006271AC"/>
    <w:rsid w:val="00636B71"/>
    <w:rsid w:val="006420CC"/>
    <w:rsid w:val="00642546"/>
    <w:rsid w:val="00646AE8"/>
    <w:rsid w:val="006672F0"/>
    <w:rsid w:val="00672747"/>
    <w:rsid w:val="00681AA4"/>
    <w:rsid w:val="006841AA"/>
    <w:rsid w:val="006977DB"/>
    <w:rsid w:val="006C3D8E"/>
    <w:rsid w:val="006F0011"/>
    <w:rsid w:val="006F1B8A"/>
    <w:rsid w:val="006F7F10"/>
    <w:rsid w:val="007263EC"/>
    <w:rsid w:val="007274E7"/>
    <w:rsid w:val="00792FC7"/>
    <w:rsid w:val="007A2EFB"/>
    <w:rsid w:val="007A751C"/>
    <w:rsid w:val="007B4E7E"/>
    <w:rsid w:val="007D023E"/>
    <w:rsid w:val="007D0BEA"/>
    <w:rsid w:val="007D3462"/>
    <w:rsid w:val="007D53A7"/>
    <w:rsid w:val="0080579A"/>
    <w:rsid w:val="00811161"/>
    <w:rsid w:val="008171D4"/>
    <w:rsid w:val="0083235D"/>
    <w:rsid w:val="00834179"/>
    <w:rsid w:val="0084602D"/>
    <w:rsid w:val="00852BD5"/>
    <w:rsid w:val="00864110"/>
    <w:rsid w:val="008641E2"/>
    <w:rsid w:val="0088002B"/>
    <w:rsid w:val="00882017"/>
    <w:rsid w:val="00887A49"/>
    <w:rsid w:val="008A4FA7"/>
    <w:rsid w:val="008A7AFC"/>
    <w:rsid w:val="00907963"/>
    <w:rsid w:val="009222D8"/>
    <w:rsid w:val="00931647"/>
    <w:rsid w:val="00936613"/>
    <w:rsid w:val="00953714"/>
    <w:rsid w:val="00956995"/>
    <w:rsid w:val="0096078C"/>
    <w:rsid w:val="0096595E"/>
    <w:rsid w:val="009659AB"/>
    <w:rsid w:val="0097439C"/>
    <w:rsid w:val="009A5056"/>
    <w:rsid w:val="009A6215"/>
    <w:rsid w:val="009A7275"/>
    <w:rsid w:val="009B7893"/>
    <w:rsid w:val="009E5EE5"/>
    <w:rsid w:val="009F02B3"/>
    <w:rsid w:val="00A25FB3"/>
    <w:rsid w:val="00A36618"/>
    <w:rsid w:val="00A37A8D"/>
    <w:rsid w:val="00A40883"/>
    <w:rsid w:val="00A47F67"/>
    <w:rsid w:val="00A65710"/>
    <w:rsid w:val="00A86680"/>
    <w:rsid w:val="00AB0A25"/>
    <w:rsid w:val="00AC555D"/>
    <w:rsid w:val="00AD2501"/>
    <w:rsid w:val="00AD5F26"/>
    <w:rsid w:val="00AD6FBE"/>
    <w:rsid w:val="00AE022D"/>
    <w:rsid w:val="00AF7DD9"/>
    <w:rsid w:val="00B04635"/>
    <w:rsid w:val="00B2557D"/>
    <w:rsid w:val="00B30EA8"/>
    <w:rsid w:val="00B33337"/>
    <w:rsid w:val="00B613E4"/>
    <w:rsid w:val="00B62F52"/>
    <w:rsid w:val="00B70170"/>
    <w:rsid w:val="00B8699D"/>
    <w:rsid w:val="00B9771E"/>
    <w:rsid w:val="00BA05F8"/>
    <w:rsid w:val="00BC4AA9"/>
    <w:rsid w:val="00BC6556"/>
    <w:rsid w:val="00BD0F68"/>
    <w:rsid w:val="00BD2974"/>
    <w:rsid w:val="00C07E26"/>
    <w:rsid w:val="00C31759"/>
    <w:rsid w:val="00C33A93"/>
    <w:rsid w:val="00C51A70"/>
    <w:rsid w:val="00C51D08"/>
    <w:rsid w:val="00C75C2F"/>
    <w:rsid w:val="00C95345"/>
    <w:rsid w:val="00C97445"/>
    <w:rsid w:val="00CA66DC"/>
    <w:rsid w:val="00CB07AD"/>
    <w:rsid w:val="00CB609F"/>
    <w:rsid w:val="00CC7632"/>
    <w:rsid w:val="00CD57A1"/>
    <w:rsid w:val="00CD793C"/>
    <w:rsid w:val="00D01CD2"/>
    <w:rsid w:val="00D13431"/>
    <w:rsid w:val="00D17E6A"/>
    <w:rsid w:val="00D17E7D"/>
    <w:rsid w:val="00D23470"/>
    <w:rsid w:val="00D412BA"/>
    <w:rsid w:val="00D66169"/>
    <w:rsid w:val="00D75050"/>
    <w:rsid w:val="00D842DF"/>
    <w:rsid w:val="00D9180B"/>
    <w:rsid w:val="00D94442"/>
    <w:rsid w:val="00DB5001"/>
    <w:rsid w:val="00DC5E03"/>
    <w:rsid w:val="00DD5973"/>
    <w:rsid w:val="00DE1E49"/>
    <w:rsid w:val="00DF2836"/>
    <w:rsid w:val="00E3336E"/>
    <w:rsid w:val="00E42000"/>
    <w:rsid w:val="00E441D6"/>
    <w:rsid w:val="00E47FB8"/>
    <w:rsid w:val="00E72B19"/>
    <w:rsid w:val="00E872C5"/>
    <w:rsid w:val="00EA2EFC"/>
    <w:rsid w:val="00EF474F"/>
    <w:rsid w:val="00EF4AC5"/>
    <w:rsid w:val="00F16981"/>
    <w:rsid w:val="00F367B3"/>
    <w:rsid w:val="00F37CA9"/>
    <w:rsid w:val="00F43573"/>
    <w:rsid w:val="00F447A2"/>
    <w:rsid w:val="00F81184"/>
    <w:rsid w:val="00F83DAD"/>
    <w:rsid w:val="00FA47EF"/>
    <w:rsid w:val="00FC3EAC"/>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B8EC0"/>
  <w15:chartTrackingRefBased/>
  <w15:docId w15:val="{79224686-3088-44A4-A7FF-DA46FC99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FC3EAC"/>
    <w:pPr>
      <w:spacing w:before="240"/>
      <w:outlineLvl w:val="1"/>
    </w:pPr>
    <w:rPr>
      <w:rFonts w:cs="Arial"/>
      <w:b/>
      <w:bCs/>
      <w:sz w:val="28"/>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FC3EAC"/>
    <w:rPr>
      <w:rFonts w:ascii="Noto Sans" w:eastAsiaTheme="minorEastAsia" w:hAnsi="Noto Sans" w:cs="Arial"/>
      <w:b/>
      <w:bCs/>
      <w:sz w:val="28"/>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7263EC"/>
    <w:pPr>
      <w:spacing w:after="120"/>
    </w:pPr>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7263EC"/>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paragraph" w:customStyle="1" w:styleId="Bullet2">
    <w:name w:val="Bullet 2"/>
    <w:basedOn w:val="ListParagraph"/>
    <w:qFormat/>
    <w:rsid w:val="00FC3EAC"/>
    <w:pPr>
      <w:numPr>
        <w:ilvl w:val="1"/>
        <w:numId w:val="11"/>
      </w:numPr>
      <w:ind w:left="851" w:hanging="284"/>
    </w:pPr>
  </w:style>
  <w:style w:type="character" w:styleId="Hyperlink">
    <w:name w:val="Hyperlink"/>
    <w:basedOn w:val="DefaultParagraphFont"/>
    <w:uiPriority w:val="99"/>
    <w:unhideWhenUsed/>
    <w:rsid w:val="006271AC"/>
    <w:rPr>
      <w:color w:val="0563C1" w:themeColor="hyperlink"/>
      <w:u w:val="single"/>
    </w:rPr>
  </w:style>
  <w:style w:type="character" w:styleId="UnresolvedMention">
    <w:name w:val="Unresolved Mention"/>
    <w:basedOn w:val="DefaultParagraphFont"/>
    <w:uiPriority w:val="99"/>
    <w:rsid w:val="00AD6FBE"/>
    <w:rPr>
      <w:color w:val="605E5C"/>
      <w:shd w:val="clear" w:color="auto" w:fill="E1DFDD"/>
    </w:rPr>
  </w:style>
  <w:style w:type="character" w:styleId="FollowedHyperlink">
    <w:name w:val="FollowedHyperlink"/>
    <w:basedOn w:val="DefaultParagraphFont"/>
    <w:uiPriority w:val="99"/>
    <w:semiHidden/>
    <w:unhideWhenUsed/>
    <w:rsid w:val="00AD6FBE"/>
    <w:rPr>
      <w:color w:val="954F72" w:themeColor="followedHyperlink"/>
      <w:u w:val="single"/>
    </w:rPr>
  </w:style>
  <w:style w:type="paragraph" w:styleId="Revision">
    <w:name w:val="Revision"/>
    <w:hidden/>
    <w:uiPriority w:val="99"/>
    <w:semiHidden/>
    <w:rsid w:val="00681AA4"/>
    <w:rPr>
      <w:rFonts w:ascii="Noto Sans" w:eastAsiaTheme="minorEastAsia" w:hAnsi="Noto Sans"/>
      <w:sz w:val="20"/>
    </w:rPr>
  </w:style>
  <w:style w:type="character" w:styleId="CommentReference">
    <w:name w:val="annotation reference"/>
    <w:basedOn w:val="DefaultParagraphFont"/>
    <w:uiPriority w:val="99"/>
    <w:semiHidden/>
    <w:unhideWhenUsed/>
    <w:rsid w:val="00681AA4"/>
    <w:rPr>
      <w:sz w:val="16"/>
      <w:szCs w:val="16"/>
    </w:rPr>
  </w:style>
  <w:style w:type="paragraph" w:styleId="CommentText">
    <w:name w:val="annotation text"/>
    <w:basedOn w:val="Normal"/>
    <w:link w:val="CommentTextChar"/>
    <w:uiPriority w:val="99"/>
    <w:unhideWhenUsed/>
    <w:rsid w:val="00681AA4"/>
    <w:rPr>
      <w:szCs w:val="20"/>
    </w:rPr>
  </w:style>
  <w:style w:type="character" w:customStyle="1" w:styleId="CommentTextChar">
    <w:name w:val="Comment Text Char"/>
    <w:basedOn w:val="DefaultParagraphFont"/>
    <w:link w:val="CommentText"/>
    <w:uiPriority w:val="99"/>
    <w:rsid w:val="00681AA4"/>
    <w:rPr>
      <w:rFonts w:ascii="Noto Sans" w:eastAsiaTheme="minorEastAsia" w:hAnsi="Noto Sans"/>
      <w:sz w:val="20"/>
      <w:szCs w:val="20"/>
    </w:rPr>
  </w:style>
  <w:style w:type="paragraph" w:styleId="CommentSubject">
    <w:name w:val="annotation subject"/>
    <w:basedOn w:val="CommentText"/>
    <w:next w:val="CommentText"/>
    <w:link w:val="CommentSubjectChar"/>
    <w:uiPriority w:val="99"/>
    <w:semiHidden/>
    <w:unhideWhenUsed/>
    <w:rsid w:val="00681AA4"/>
    <w:rPr>
      <w:b/>
      <w:bCs/>
    </w:rPr>
  </w:style>
  <w:style w:type="character" w:customStyle="1" w:styleId="CommentSubjectChar">
    <w:name w:val="Comment Subject Char"/>
    <w:basedOn w:val="CommentTextChar"/>
    <w:link w:val="CommentSubject"/>
    <w:uiPriority w:val="99"/>
    <w:semiHidden/>
    <w:rsid w:val="00681AA4"/>
    <w:rPr>
      <w:rFonts w:ascii="Noto Sans" w:eastAsiaTheme="minorEastAsia" w:hAnsi="Noto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saster.qld.gov.au/__data/assets/pdf_file/0031/528448/Interim-Queensland-State-Disaster-Management-Plan-2024-25.pdf" TargetMode="External"/><Relationship Id="rId18" Type="http://schemas.openxmlformats.org/officeDocument/2006/relationships/hyperlink" Target="https://www.igem.qld.gov.au/sites/default/files/2019-12/NEW%20Standard%20for%20Disaster%20Management%20in%20Queensland%20v2.0.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qld.gov.au/community/disasters-emergencies/disasters/supporting-vulnerable-people" TargetMode="External"/><Relationship Id="rId7" Type="http://schemas.openxmlformats.org/officeDocument/2006/relationships/styles" Target="styles.xml"/><Relationship Id="rId12" Type="http://schemas.openxmlformats.org/officeDocument/2006/relationships/hyperlink" Target="https://aus01.safelinks.protection.outlook.com/?url=https%3A%2F%2Fwww.legislation.qld.gov.au%2Fview%2Fpdf%2Finforce%2Fcurrent%2Fact-2003-091&amp;data=05%7C02%7CJodie.McCarthy%40chde.qld.gov.au%7C81b048fbba104580152c08ddc4c62b20%7Cec445a2ab5ba46f6bead4595e9fbd4a2%7C0%7C0%7C638883077590817639%7CUnknown%7CTWFpbGZsb3d8eyJFbXB0eU1hcGkiOnRydWUsIlYiOiIwLjAuMDAwMCIsIlAiOiJXaW4zMiIsIkFOIjoiTWFpbCIsIldUIjoyfQ%3D%3D%7C0%7C%7C%7C&amp;sdata=cDaivGmZHQpe3aPHYLXtxlHxkYNt9P0yFKcEoLEG%2F1s%3D&amp;reserved=0" TargetMode="External"/><Relationship Id="rId17" Type="http://schemas.openxmlformats.org/officeDocument/2006/relationships/hyperlink" Target="https://www.disaster.qld.gov.au/__data/assets/pdf_file/0032/359465/Interim-QPPRR-Guideline-2024-25.pdf" TargetMode="External"/><Relationship Id="rId25" Type="http://schemas.openxmlformats.org/officeDocument/2006/relationships/hyperlink" Target="https://www.homeaffairs.gov.au/emergency/files/national-disaster-risk-reduction-framework.pdf" TargetMode="External"/><Relationship Id="rId2" Type="http://schemas.openxmlformats.org/officeDocument/2006/relationships/customXml" Target="../customXml/item2.xml"/><Relationship Id="rId16" Type="http://schemas.openxmlformats.org/officeDocument/2006/relationships/hyperlink" Target="https://www.qra.qld.gov.au/qsdr" TargetMode="External"/><Relationship Id="rId20" Type="http://schemas.openxmlformats.org/officeDocument/2006/relationships/hyperlink" Target="https://www.families.qld.gov.au/_media/documents/about-us/publications/coporate/strategic-plan-2025-29.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ema.gov.au/about-us/governance-and-reporting/strategies-and-frameworks/disaster-risk-reduction" TargetMode="External"/><Relationship Id="rId5" Type="http://schemas.openxmlformats.org/officeDocument/2006/relationships/customXml" Target="../customXml/item5.xml"/><Relationship Id="rId15" Type="http://schemas.openxmlformats.org/officeDocument/2006/relationships/hyperlink" Target="https://www.qra.qld.gov.au/sites/default/files/2023-11/queensland-recovery-plan-june-2023.pdf" TargetMode="External"/><Relationship Id="rId23" Type="http://schemas.openxmlformats.org/officeDocument/2006/relationships/hyperlink" Target="https://knowledge.aidr.org.au/resources/national-principles-for-disaster-recovery/"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qld.gov.au/about/how-government-works/our-priorities/governments-objectives-for-the-communi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ra.qld.gov.au/sites/default/files/2025-02/2023-24_State_Recovery_and_Resilience_Plan.pdf" TargetMode="External"/><Relationship Id="rId22" Type="http://schemas.openxmlformats.org/officeDocument/2006/relationships/hyperlink" Target="https://www.nema.gov.au/about-us/governance-and-reporting/strategies-and-frameworks/disaster-risk-reduction"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QREDJ4H4ZNCU-2137131871-1263035</_dlc_DocId>
    <_dlc_DocIdUrl xmlns="45624441-df11-4972-b940-84743b8edd13">
      <Url>https://dpcqld.sharepoint.com/sites/dpc-filestore1/_layouts/15/DocIdRedir.aspx?ID=QREDJ4H4ZNCU-2137131871-1263035</Url>
      <Description>QREDJ4H4ZNCU-2137131871-1263035</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45624441-df11-4972-b940-84743b8edd13"/>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05a03ac3-062e-4e77-aff9-6a8c9933ce22"/>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Human and Social Recovery and Resilience Plan 2025-28</vt:lpstr>
    </vt:vector>
  </TitlesOfParts>
  <Company>Department of Families, Seniors, Disability Services and Child Safety</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and Social Recovery and Resilience Plan 2025-28</dc:title>
  <dc:subject>Community Recovery, Human and Social Recovery and Resilience Plan, Queensland human and social recovery</dc:subject>
  <dc:creator>Queensland Government</dc:creator>
  <cp:keywords>Community Recovery human and social plan; Queensland Government human and social recovery; human and social recovery; Queensland human and social recovery plan; disaster resilience</cp:keywords>
  <dc:description/>
  <cp:lastModifiedBy>Trish Wilkin</cp:lastModifiedBy>
  <cp:revision>4</cp:revision>
  <cp:lastPrinted>2025-08-07T05:04:00Z</cp:lastPrinted>
  <dcterms:created xsi:type="dcterms:W3CDTF">2026-02-09T23:10:00Z</dcterms:created>
  <dcterms:modified xsi:type="dcterms:W3CDTF">2026-02-09T23:50:00Z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9c81dd20-6ca7-4a48-b4a6-27f21d98cfa5</vt:lpwstr>
  </property>
  <property fmtid="{D5CDD505-2E9C-101B-9397-08002B2CF9AE}" pid="4" name="MediaServiceImageTags">
    <vt:lpwstr/>
  </property>
</Properties>
</file>