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E01DE" w14:textId="59469510" w:rsidR="00F91E08" w:rsidRDefault="00F139A4" w:rsidP="00F91E08">
      <w:pPr>
        <w:pStyle w:val="Heading1"/>
        <w:sectPr w:rsidR="00F91E08" w:rsidSect="005A1B89">
          <w:headerReference w:type="default" r:id="rId7"/>
          <w:footerReference w:type="default" r:id="rId8"/>
          <w:headerReference w:type="first" r:id="rId9"/>
          <w:footerReference w:type="first" r:id="rId10"/>
          <w:pgSz w:w="16820" w:h="11900" w:orient="landscape"/>
          <w:pgMar w:top="1985" w:right="1134" w:bottom="1418" w:left="1134" w:header="709" w:footer="0" w:gutter="0"/>
          <w:cols w:space="708"/>
          <w:titlePg/>
          <w:docGrid w:linePitch="360"/>
        </w:sectPr>
      </w:pPr>
      <w:r w:rsidRPr="00F139A4">
        <w:rPr>
          <w:noProof/>
          <w:sz w:val="20"/>
          <w:szCs w:val="20"/>
        </w:rPr>
        <mc:AlternateContent>
          <mc:Choice Requires="wps">
            <w:drawing>
              <wp:anchor distT="45720" distB="45720" distL="182880" distR="182880" simplePos="0" relativeHeight="251659264" behindDoc="1" locked="0" layoutInCell="1" allowOverlap="0" wp14:anchorId="605722CE" wp14:editId="123948A1">
                <wp:simplePos x="0" y="0"/>
                <wp:positionH relativeFrom="column">
                  <wp:posOffset>4948555</wp:posOffset>
                </wp:positionH>
                <wp:positionV relativeFrom="paragraph">
                  <wp:posOffset>648970</wp:posOffset>
                </wp:positionV>
                <wp:extent cx="4276725" cy="4705350"/>
                <wp:effectExtent l="38100" t="38100" r="47625" b="38100"/>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4705350"/>
                        </a:xfrm>
                        <a:prstGeom prst="rect">
                          <a:avLst/>
                        </a:prstGeom>
                        <a:solidFill>
                          <a:schemeClr val="tx2"/>
                        </a:solidFill>
                        <a:ln w="76200" cmpd="dbl">
                          <a:solidFill>
                            <a:schemeClr val="tx2"/>
                          </a:solidFill>
                          <a:miter lim="800000"/>
                          <a:headEnd/>
                          <a:tailEnd/>
                        </a:ln>
                      </wps:spPr>
                      <wps:txbx>
                        <w:txbxContent>
                          <w:p w14:paraId="367D033A" w14:textId="437FE5A3" w:rsidR="00F139A4" w:rsidRPr="00B031F7" w:rsidRDefault="00F139A4" w:rsidP="00916611">
                            <w:pPr>
                              <w:rPr>
                                <w:b/>
                                <w:bCs/>
                                <w:i/>
                                <w:iCs/>
                                <w:caps/>
                                <w:color w:val="FFFFFF" w:themeColor="background1"/>
                                <w:sz w:val="18"/>
                                <w:szCs w:val="16"/>
                              </w:rPr>
                            </w:pPr>
                            <w:r w:rsidRPr="00B031F7">
                              <w:rPr>
                                <w:b/>
                                <w:bCs/>
                                <w:i/>
                                <w:iCs/>
                                <w:color w:val="FFFFFF" w:themeColor="background1"/>
                                <w:sz w:val="18"/>
                                <w:szCs w:val="16"/>
                              </w:rPr>
                              <w:t>What is a feasibility study</w:t>
                            </w:r>
                            <w:r w:rsidRPr="00B031F7">
                              <w:rPr>
                                <w:b/>
                                <w:bCs/>
                                <w:i/>
                                <w:iCs/>
                                <w:caps/>
                                <w:color w:val="FFFFFF" w:themeColor="background1"/>
                                <w:sz w:val="18"/>
                                <w:szCs w:val="16"/>
                              </w:rPr>
                              <w:t>?</w:t>
                            </w:r>
                          </w:p>
                          <w:p w14:paraId="48E428A2" w14:textId="542581CE" w:rsidR="00F139A4" w:rsidRPr="00B031F7" w:rsidRDefault="00F139A4" w:rsidP="00F139A4">
                            <w:pPr>
                              <w:rPr>
                                <w:color w:val="FFFFFF" w:themeColor="background1"/>
                                <w:sz w:val="18"/>
                                <w:szCs w:val="18"/>
                              </w:rPr>
                            </w:pPr>
                            <w:r w:rsidRPr="00B031F7">
                              <w:rPr>
                                <w:color w:val="FFFFFF" w:themeColor="background1"/>
                                <w:sz w:val="18"/>
                                <w:szCs w:val="18"/>
                              </w:rPr>
                              <w:t xml:space="preserve">A feasibility study looks at whether a pilot program is possible and worthwhile. Feasibility studies are usually done before a pilot is designed or rolled out, and can help identify opportunities, challenges, and how the pilot could work. </w:t>
                            </w:r>
                          </w:p>
                          <w:p w14:paraId="7B43B451" w14:textId="77777777" w:rsidR="00F139A4" w:rsidRPr="00B031F7" w:rsidRDefault="00F139A4" w:rsidP="00F139A4">
                            <w:pPr>
                              <w:rPr>
                                <w:color w:val="FFFFFF" w:themeColor="background1"/>
                                <w:sz w:val="18"/>
                                <w:szCs w:val="18"/>
                              </w:rPr>
                            </w:pPr>
                          </w:p>
                          <w:p w14:paraId="1670261E" w14:textId="61A9E7A4" w:rsidR="00F139A4" w:rsidRPr="00B031F7" w:rsidRDefault="00F139A4" w:rsidP="00916611">
                            <w:pPr>
                              <w:rPr>
                                <w:b/>
                                <w:bCs/>
                                <w:i/>
                                <w:iCs/>
                                <w:color w:val="FFFFFF" w:themeColor="background1"/>
                                <w:sz w:val="18"/>
                                <w:szCs w:val="16"/>
                              </w:rPr>
                            </w:pPr>
                            <w:r w:rsidRPr="00B031F7">
                              <w:rPr>
                                <w:b/>
                                <w:bCs/>
                                <w:i/>
                                <w:iCs/>
                                <w:color w:val="FFFFFF" w:themeColor="background1"/>
                                <w:sz w:val="18"/>
                                <w:szCs w:val="16"/>
                              </w:rPr>
                              <w:t>What is social prescribing?</w:t>
                            </w:r>
                          </w:p>
                          <w:p w14:paraId="55084174" w14:textId="77777777" w:rsidR="00484115" w:rsidRPr="00B031F7" w:rsidRDefault="00484115" w:rsidP="00484115">
                            <w:pPr>
                              <w:rPr>
                                <w:color w:val="FFFFFF" w:themeColor="background1"/>
                                <w:sz w:val="18"/>
                                <w:szCs w:val="18"/>
                              </w:rPr>
                            </w:pPr>
                            <w:r w:rsidRPr="00B031F7">
                              <w:rPr>
                                <w:color w:val="FFFFFF" w:themeColor="background1"/>
                                <w:sz w:val="18"/>
                                <w:szCs w:val="18"/>
                              </w:rPr>
                              <w:t>Many people present to health services with social or low-level health needs that are better addressed through social, not medical, solutions.</w:t>
                            </w:r>
                          </w:p>
                          <w:p w14:paraId="3E991C68" w14:textId="2C439508" w:rsidR="00F139A4" w:rsidRDefault="00D82CA0" w:rsidP="00F139A4">
                            <w:pPr>
                              <w:rPr>
                                <w:color w:val="FFFFFF" w:themeColor="background1"/>
                                <w:sz w:val="18"/>
                                <w:szCs w:val="18"/>
                              </w:rPr>
                            </w:pPr>
                            <w:r w:rsidRPr="00D82CA0">
                              <w:rPr>
                                <w:color w:val="FFFFFF" w:themeColor="background1"/>
                                <w:sz w:val="18"/>
                                <w:szCs w:val="18"/>
                              </w:rPr>
                              <w:t>Social prescribing connects people with non-medical needs to local services that support their wellbeing. A trusted person, like a GP or community worker, works with them to create a “social prescription”</w:t>
                            </w:r>
                            <w:r>
                              <w:rPr>
                                <w:color w:val="FFFFFF" w:themeColor="background1"/>
                                <w:sz w:val="18"/>
                                <w:szCs w:val="18"/>
                              </w:rPr>
                              <w:t xml:space="preserve">, </w:t>
                            </w:r>
                            <w:r w:rsidRPr="00D82CA0">
                              <w:rPr>
                                <w:color w:val="FFFFFF" w:themeColor="background1"/>
                                <w:sz w:val="18"/>
                                <w:szCs w:val="18"/>
                              </w:rPr>
                              <w:t xml:space="preserve">linking them to activities or supports like exercise groups, food banks or counselling. It’s gaining attention as a way to </w:t>
                            </w:r>
                            <w:r>
                              <w:rPr>
                                <w:color w:val="FFFFFF" w:themeColor="background1"/>
                                <w:sz w:val="18"/>
                                <w:szCs w:val="18"/>
                              </w:rPr>
                              <w:t>address</w:t>
                            </w:r>
                            <w:r w:rsidRPr="00D82CA0">
                              <w:rPr>
                                <w:color w:val="FFFFFF" w:themeColor="background1"/>
                                <w:sz w:val="18"/>
                                <w:szCs w:val="18"/>
                              </w:rPr>
                              <w:t xml:space="preserve"> loneliness, social isolation, and other social issues that impact health.</w:t>
                            </w:r>
                          </w:p>
                          <w:p w14:paraId="09B3886F" w14:textId="77777777" w:rsidR="00D82CA0" w:rsidRPr="00B031F7" w:rsidRDefault="00D82CA0" w:rsidP="00F139A4">
                            <w:pPr>
                              <w:rPr>
                                <w:color w:val="FFFFFF" w:themeColor="background1"/>
                                <w:sz w:val="18"/>
                                <w:szCs w:val="18"/>
                              </w:rPr>
                            </w:pPr>
                          </w:p>
                          <w:p w14:paraId="7D05B057" w14:textId="6D1AA0AF" w:rsidR="00F139A4" w:rsidRPr="00B031F7" w:rsidRDefault="00F139A4" w:rsidP="00F139A4">
                            <w:pPr>
                              <w:rPr>
                                <w:b/>
                                <w:bCs/>
                                <w:i/>
                                <w:iCs/>
                                <w:color w:val="FFFFFF" w:themeColor="background1"/>
                                <w:sz w:val="18"/>
                                <w:szCs w:val="18"/>
                              </w:rPr>
                            </w:pPr>
                            <w:r w:rsidRPr="00B031F7">
                              <w:rPr>
                                <w:b/>
                                <w:bCs/>
                                <w:i/>
                                <w:iCs/>
                                <w:color w:val="FFFFFF" w:themeColor="background1"/>
                                <w:sz w:val="18"/>
                                <w:szCs w:val="18"/>
                              </w:rPr>
                              <w:t>Why does it matter?</w:t>
                            </w:r>
                          </w:p>
                          <w:p w14:paraId="035C072E" w14:textId="0A457B1A" w:rsidR="00D82CA0" w:rsidRPr="00D82CA0" w:rsidRDefault="00D82CA0" w:rsidP="00D82CA0">
                            <w:pPr>
                              <w:spacing w:after="0"/>
                              <w:rPr>
                                <w:color w:val="FFFFFF" w:themeColor="background1"/>
                                <w:sz w:val="18"/>
                                <w:szCs w:val="18"/>
                              </w:rPr>
                            </w:pPr>
                            <w:r w:rsidRPr="00D82CA0">
                              <w:rPr>
                                <w:color w:val="FFFFFF" w:themeColor="background1"/>
                                <w:sz w:val="18"/>
                                <w:szCs w:val="18"/>
                              </w:rPr>
                              <w:t>Strong social connections are key to a healthy life. They reduce stress, boost mental health, and help people bounce back from tough times. Research shows that good relationships can cut the risk of early death as much as quitting smoking. Community networks also lead to better public health, education and safety. Programs that build social bonds can reduce service demand and help individuals live fuller, more connected lives</w:t>
                            </w:r>
                            <w:r>
                              <w:rPr>
                                <w:color w:val="FFFFFF" w:themeColor="background1"/>
                                <w:sz w:val="18"/>
                                <w:szCs w:val="18"/>
                              </w:rPr>
                              <w:t xml:space="preserve">, </w:t>
                            </w:r>
                            <w:r w:rsidRPr="00D82CA0">
                              <w:rPr>
                                <w:color w:val="FFFFFF" w:themeColor="background1"/>
                                <w:sz w:val="18"/>
                                <w:szCs w:val="18"/>
                              </w:rPr>
                              <w:t xml:space="preserve">especially in times of crisis like </w:t>
                            </w:r>
                            <w:r>
                              <w:rPr>
                                <w:color w:val="FFFFFF" w:themeColor="background1"/>
                                <w:sz w:val="18"/>
                                <w:szCs w:val="18"/>
                              </w:rPr>
                              <w:t xml:space="preserve">during </w:t>
                            </w:r>
                            <w:r w:rsidRPr="00D82CA0">
                              <w:rPr>
                                <w:color w:val="FFFFFF" w:themeColor="background1"/>
                                <w:sz w:val="18"/>
                                <w:szCs w:val="18"/>
                              </w:rPr>
                              <w:t>major life changes.</w:t>
                            </w:r>
                          </w:p>
                          <w:p w14:paraId="2D19EFF3" w14:textId="77777777" w:rsidR="00F139A4" w:rsidRPr="00B031F7" w:rsidRDefault="00F139A4" w:rsidP="00F139A4">
                            <w:pPr>
                              <w:spacing w:after="0"/>
                              <w:rPr>
                                <w:b/>
                                <w:bCs/>
                                <w:i/>
                                <w:iCs/>
                                <w:caps/>
                                <w:color w:val="FFFFFF" w:themeColor="background1"/>
                                <w:sz w:val="24"/>
                                <w:szCs w:val="22"/>
                              </w:rPr>
                            </w:pP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5722CE" id="Rectangle 4" o:spid="_x0000_s1026" style="position:absolute;margin-left:389.65pt;margin-top:51.1pt;width:336.75pt;height:370.5pt;z-index:-251657216;visibility:visible;mso-wrap-style:square;mso-width-percent:0;mso-height-percent:0;mso-wrap-distance-left:14.4pt;mso-wrap-distance-top:3.6pt;mso-wrap-distance-right:14.4pt;mso-wrap-distance-bottom:3.6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" o:allowoverlap="f" fillcolor="#44546a [3215]" strokecolor="#44546a [3215]" strokeweight="6pt">
                <v:stroke linestyle="thinThin"/>
                <v:textbox inset="14.4pt,14.4pt,14.4pt,14.4pt">
                  <w:txbxContent>
                    <w:p w14:paraId="367D033A" w14:textId="437FE5A3" w:rsidR="00F139A4" w:rsidRPr="00B031F7" w:rsidRDefault="00F139A4" w:rsidP="00916611">
                      <w:pPr>
                        <w:rPr>
                          <w:b/>
                          <w:bCs/>
                          <w:i/>
                          <w:iCs/>
                          <w:caps/>
                          <w:color w:val="FFFFFF" w:themeColor="background1"/>
                          <w:sz w:val="18"/>
                          <w:szCs w:val="16"/>
                        </w:rPr>
                      </w:pPr>
                      <w:r w:rsidRPr="00B031F7">
                        <w:rPr>
                          <w:b/>
                          <w:bCs/>
                          <w:i/>
                          <w:iCs/>
                          <w:color w:val="FFFFFF" w:themeColor="background1"/>
                          <w:sz w:val="18"/>
                          <w:szCs w:val="16"/>
                        </w:rPr>
                        <w:t>What is a feasibility study</w:t>
                      </w:r>
                      <w:r w:rsidRPr="00B031F7">
                        <w:rPr>
                          <w:b/>
                          <w:bCs/>
                          <w:i/>
                          <w:iCs/>
                          <w:caps/>
                          <w:color w:val="FFFFFF" w:themeColor="background1"/>
                          <w:sz w:val="18"/>
                          <w:szCs w:val="16"/>
                        </w:rPr>
                        <w:t>?</w:t>
                      </w:r>
                    </w:p>
                    <w:p w14:paraId="48E428A2" w14:textId="542581CE" w:rsidR="00F139A4" w:rsidRPr="00B031F7" w:rsidRDefault="00F139A4" w:rsidP="00F139A4">
                      <w:pPr>
                        <w:rPr>
                          <w:color w:val="FFFFFF" w:themeColor="background1"/>
                          <w:sz w:val="18"/>
                          <w:szCs w:val="18"/>
                        </w:rPr>
                      </w:pPr>
                      <w:r w:rsidRPr="00B031F7">
                        <w:rPr>
                          <w:color w:val="FFFFFF" w:themeColor="background1"/>
                          <w:sz w:val="18"/>
                          <w:szCs w:val="18"/>
                        </w:rPr>
                        <w:t xml:space="preserve">A feasibility study looks at whether a pilot program is possible and worthwhile. Feasibility studies are usually done before a pilot is designed or rolled out, and can help identify opportunities, challenges, and how the pilot could work. </w:t>
                      </w:r>
                    </w:p>
                    <w:p w14:paraId="7B43B451" w14:textId="77777777" w:rsidR="00F139A4" w:rsidRPr="00B031F7" w:rsidRDefault="00F139A4" w:rsidP="00F139A4">
                      <w:pPr>
                        <w:rPr>
                          <w:color w:val="FFFFFF" w:themeColor="background1"/>
                          <w:sz w:val="18"/>
                          <w:szCs w:val="18"/>
                        </w:rPr>
                      </w:pPr>
                    </w:p>
                    <w:p w14:paraId="1670261E" w14:textId="61A9E7A4" w:rsidR="00F139A4" w:rsidRPr="00B031F7" w:rsidRDefault="00F139A4" w:rsidP="00916611">
                      <w:pPr>
                        <w:rPr>
                          <w:b/>
                          <w:bCs/>
                          <w:i/>
                          <w:iCs/>
                          <w:color w:val="FFFFFF" w:themeColor="background1"/>
                          <w:sz w:val="18"/>
                          <w:szCs w:val="16"/>
                        </w:rPr>
                      </w:pPr>
                      <w:r w:rsidRPr="00B031F7">
                        <w:rPr>
                          <w:b/>
                          <w:bCs/>
                          <w:i/>
                          <w:iCs/>
                          <w:color w:val="FFFFFF" w:themeColor="background1"/>
                          <w:sz w:val="18"/>
                          <w:szCs w:val="16"/>
                        </w:rPr>
                        <w:t>What is social prescribing?</w:t>
                      </w:r>
                    </w:p>
                    <w:p w14:paraId="55084174" w14:textId="77777777" w:rsidR="00484115" w:rsidRPr="00B031F7" w:rsidRDefault="00484115" w:rsidP="00484115">
                      <w:pPr>
                        <w:rPr>
                          <w:color w:val="FFFFFF" w:themeColor="background1"/>
                          <w:sz w:val="18"/>
                          <w:szCs w:val="18"/>
                        </w:rPr>
                      </w:pPr>
                      <w:r w:rsidRPr="00B031F7">
                        <w:rPr>
                          <w:color w:val="FFFFFF" w:themeColor="background1"/>
                          <w:sz w:val="18"/>
                          <w:szCs w:val="18"/>
                        </w:rPr>
                        <w:t>Many people present to health services with social or low-level health needs that are better addressed through social, not medical, solutions.</w:t>
                      </w:r>
                    </w:p>
                    <w:p w14:paraId="3E991C68" w14:textId="2C439508" w:rsidR="00F139A4" w:rsidRDefault="00D82CA0" w:rsidP="00F139A4">
                      <w:pPr>
                        <w:rPr>
                          <w:color w:val="FFFFFF" w:themeColor="background1"/>
                          <w:sz w:val="18"/>
                          <w:szCs w:val="18"/>
                        </w:rPr>
                      </w:pPr>
                      <w:r w:rsidRPr="00D82CA0">
                        <w:rPr>
                          <w:color w:val="FFFFFF" w:themeColor="background1"/>
                          <w:sz w:val="18"/>
                          <w:szCs w:val="18"/>
                        </w:rPr>
                        <w:t>Social prescribing connects people with non-medical needs to local services that support their wellbeing. A trusted person, like a GP or community worker, works with them to create a “social prescription”</w:t>
                      </w:r>
                      <w:r>
                        <w:rPr>
                          <w:color w:val="FFFFFF" w:themeColor="background1"/>
                          <w:sz w:val="18"/>
                          <w:szCs w:val="18"/>
                        </w:rPr>
                        <w:t xml:space="preserve">, </w:t>
                      </w:r>
                      <w:r w:rsidRPr="00D82CA0">
                        <w:rPr>
                          <w:color w:val="FFFFFF" w:themeColor="background1"/>
                          <w:sz w:val="18"/>
                          <w:szCs w:val="18"/>
                        </w:rPr>
                        <w:t xml:space="preserve">linking them to activities or supports like exercise groups, food banks or counselling. It’s gaining attention as a way to </w:t>
                      </w:r>
                      <w:r>
                        <w:rPr>
                          <w:color w:val="FFFFFF" w:themeColor="background1"/>
                          <w:sz w:val="18"/>
                          <w:szCs w:val="18"/>
                        </w:rPr>
                        <w:t>address</w:t>
                      </w:r>
                      <w:r w:rsidRPr="00D82CA0">
                        <w:rPr>
                          <w:color w:val="FFFFFF" w:themeColor="background1"/>
                          <w:sz w:val="18"/>
                          <w:szCs w:val="18"/>
                        </w:rPr>
                        <w:t xml:space="preserve"> loneliness, social isolation, and other social issues that impact health.</w:t>
                      </w:r>
                    </w:p>
                    <w:p w14:paraId="09B3886F" w14:textId="77777777" w:rsidR="00D82CA0" w:rsidRPr="00B031F7" w:rsidRDefault="00D82CA0" w:rsidP="00F139A4">
                      <w:pPr>
                        <w:rPr>
                          <w:color w:val="FFFFFF" w:themeColor="background1"/>
                          <w:sz w:val="18"/>
                          <w:szCs w:val="18"/>
                        </w:rPr>
                      </w:pPr>
                    </w:p>
                    <w:p w14:paraId="7D05B057" w14:textId="6D1AA0AF" w:rsidR="00F139A4" w:rsidRPr="00B031F7" w:rsidRDefault="00F139A4" w:rsidP="00F139A4">
                      <w:pPr>
                        <w:rPr>
                          <w:b/>
                          <w:bCs/>
                          <w:i/>
                          <w:iCs/>
                          <w:color w:val="FFFFFF" w:themeColor="background1"/>
                          <w:sz w:val="18"/>
                          <w:szCs w:val="18"/>
                        </w:rPr>
                      </w:pPr>
                      <w:r w:rsidRPr="00B031F7">
                        <w:rPr>
                          <w:b/>
                          <w:bCs/>
                          <w:i/>
                          <w:iCs/>
                          <w:color w:val="FFFFFF" w:themeColor="background1"/>
                          <w:sz w:val="18"/>
                          <w:szCs w:val="18"/>
                        </w:rPr>
                        <w:t>Why does it matter?</w:t>
                      </w:r>
                    </w:p>
                    <w:p w14:paraId="035C072E" w14:textId="0A457B1A" w:rsidR="00D82CA0" w:rsidRPr="00D82CA0" w:rsidRDefault="00D82CA0" w:rsidP="00D82CA0">
                      <w:pPr>
                        <w:spacing w:after="0"/>
                        <w:rPr>
                          <w:color w:val="FFFFFF" w:themeColor="background1"/>
                          <w:sz w:val="18"/>
                          <w:szCs w:val="18"/>
                        </w:rPr>
                      </w:pPr>
                      <w:r w:rsidRPr="00D82CA0">
                        <w:rPr>
                          <w:color w:val="FFFFFF" w:themeColor="background1"/>
                          <w:sz w:val="18"/>
                          <w:szCs w:val="18"/>
                        </w:rPr>
                        <w:t>Strong social connections are key to a healthy life. They reduce stress, boost mental health, and help people bounce back from tough times. Research shows that good relationships can cut the risk of early death as much as quitting smoking. Community networks also lead to better public health, education and safety. Programs that build social bonds can reduce service demand and help individuals live fuller, more connected lives</w:t>
                      </w:r>
                      <w:r>
                        <w:rPr>
                          <w:color w:val="FFFFFF" w:themeColor="background1"/>
                          <w:sz w:val="18"/>
                          <w:szCs w:val="18"/>
                        </w:rPr>
                        <w:t xml:space="preserve">, </w:t>
                      </w:r>
                      <w:r w:rsidRPr="00D82CA0">
                        <w:rPr>
                          <w:color w:val="FFFFFF" w:themeColor="background1"/>
                          <w:sz w:val="18"/>
                          <w:szCs w:val="18"/>
                        </w:rPr>
                        <w:t xml:space="preserve">especially in times of crisis like </w:t>
                      </w:r>
                      <w:r>
                        <w:rPr>
                          <w:color w:val="FFFFFF" w:themeColor="background1"/>
                          <w:sz w:val="18"/>
                          <w:szCs w:val="18"/>
                        </w:rPr>
                        <w:t xml:space="preserve">during </w:t>
                      </w:r>
                      <w:r w:rsidRPr="00D82CA0">
                        <w:rPr>
                          <w:color w:val="FFFFFF" w:themeColor="background1"/>
                          <w:sz w:val="18"/>
                          <w:szCs w:val="18"/>
                        </w:rPr>
                        <w:t>major life changes.</w:t>
                      </w:r>
                    </w:p>
                    <w:p w14:paraId="2D19EFF3" w14:textId="77777777" w:rsidR="00F139A4" w:rsidRPr="00B031F7" w:rsidRDefault="00F139A4" w:rsidP="00F139A4">
                      <w:pPr>
                        <w:spacing w:after="0"/>
                        <w:rPr>
                          <w:b/>
                          <w:bCs/>
                          <w:i/>
                          <w:iCs/>
                          <w:caps/>
                          <w:color w:val="FFFFFF" w:themeColor="background1"/>
                          <w:sz w:val="24"/>
                          <w:szCs w:val="22"/>
                        </w:rPr>
                      </w:pPr>
                    </w:p>
                  </w:txbxContent>
                </v:textbox>
                <w10:wrap type="square"/>
              </v:rect>
            </w:pict>
          </mc:Fallback>
        </mc:AlternateContent>
      </w:r>
      <w:r>
        <w:t>Queensland Social Prescribing Feasibility Study: Key findings</w:t>
      </w:r>
    </w:p>
    <w:p w14:paraId="5B739D76" w14:textId="1985DA5A" w:rsidR="00E654BC" w:rsidRPr="007B25F3" w:rsidRDefault="00F139A4" w:rsidP="00F91E08">
      <w:pPr>
        <w:pStyle w:val="Heading3"/>
      </w:pPr>
      <w:r>
        <w:t>Introduction</w:t>
      </w:r>
    </w:p>
    <w:p w14:paraId="7963EC9E" w14:textId="335A2D19" w:rsidR="00F139A4" w:rsidRDefault="00F139A4" w:rsidP="00F139A4">
      <w:pPr>
        <w:rPr>
          <w:sz w:val="20"/>
          <w:szCs w:val="20"/>
        </w:rPr>
      </w:pPr>
      <w:r w:rsidRPr="00794D30">
        <w:rPr>
          <w:sz w:val="20"/>
          <w:szCs w:val="20"/>
        </w:rPr>
        <w:t xml:space="preserve">In April 2024, the former Department of Treaty, Aboriginal and Torres Strait Islander Partnerships, Communities and the Arts </w:t>
      </w:r>
      <w:r>
        <w:rPr>
          <w:sz w:val="20"/>
          <w:szCs w:val="20"/>
        </w:rPr>
        <w:t xml:space="preserve">(the department) engaged </w:t>
      </w:r>
      <w:r w:rsidRPr="00794D30">
        <w:rPr>
          <w:sz w:val="20"/>
          <w:szCs w:val="20"/>
        </w:rPr>
        <w:t xml:space="preserve">Prominence Consulting </w:t>
      </w:r>
      <w:r>
        <w:rPr>
          <w:sz w:val="20"/>
          <w:szCs w:val="20"/>
        </w:rPr>
        <w:t>(PC) to deliver a feasibility study (the study) and suggest options for how a social prescribing</w:t>
      </w:r>
      <w:r w:rsidR="00484115">
        <w:rPr>
          <w:sz w:val="20"/>
          <w:szCs w:val="20"/>
        </w:rPr>
        <w:t xml:space="preserve"> pilot</w:t>
      </w:r>
      <w:r>
        <w:rPr>
          <w:sz w:val="20"/>
          <w:szCs w:val="20"/>
        </w:rPr>
        <w:t xml:space="preserve"> </w:t>
      </w:r>
      <w:r w:rsidR="00CD028E">
        <w:rPr>
          <w:sz w:val="20"/>
          <w:szCs w:val="20"/>
        </w:rPr>
        <w:t xml:space="preserve">focused on </w:t>
      </w:r>
      <w:r w:rsidR="003165E6">
        <w:rPr>
          <w:sz w:val="20"/>
          <w:szCs w:val="20"/>
        </w:rPr>
        <w:t>improving</w:t>
      </w:r>
      <w:r w:rsidR="00CD028E">
        <w:rPr>
          <w:sz w:val="20"/>
          <w:szCs w:val="20"/>
        </w:rPr>
        <w:t xml:space="preserve"> social connections </w:t>
      </w:r>
      <w:r>
        <w:rPr>
          <w:sz w:val="20"/>
          <w:szCs w:val="20"/>
        </w:rPr>
        <w:t xml:space="preserve">could be trialled in Queensland. PC worked with the department and the Darling Downs West Moreton Primary Health Network on behalf of all Queensland Primary Health Networks (PHNs) to deliver the study. </w:t>
      </w:r>
    </w:p>
    <w:p w14:paraId="09796EED" w14:textId="77777777" w:rsidR="00F139A4" w:rsidRDefault="00F139A4" w:rsidP="00F139A4">
      <w:pPr>
        <w:rPr>
          <w:sz w:val="20"/>
          <w:szCs w:val="20"/>
        </w:rPr>
      </w:pPr>
      <w:r w:rsidRPr="00794D30">
        <w:rPr>
          <w:sz w:val="20"/>
          <w:szCs w:val="20"/>
        </w:rPr>
        <w:t xml:space="preserve">The study was initiated in response to recommendations from a </w:t>
      </w:r>
      <w:hyperlink r:id="rId11" w:history="1">
        <w:r w:rsidRPr="00794D30">
          <w:rPr>
            <w:rStyle w:val="Hyperlink"/>
            <w:sz w:val="20"/>
            <w:szCs w:val="20"/>
          </w:rPr>
          <w:t>Parliamentary Inquiry into Social Isolation and Loneliness in Queensland</w:t>
        </w:r>
      </w:hyperlink>
      <w:r w:rsidRPr="00794D30">
        <w:rPr>
          <w:sz w:val="20"/>
          <w:szCs w:val="20"/>
        </w:rPr>
        <w:t>. The Queensland Government supported all 14 recommendations, including two</w:t>
      </w:r>
      <w:r>
        <w:rPr>
          <w:sz w:val="20"/>
          <w:szCs w:val="20"/>
        </w:rPr>
        <w:t xml:space="preserve"> relating</w:t>
      </w:r>
      <w:r w:rsidRPr="00794D30">
        <w:rPr>
          <w:sz w:val="20"/>
          <w:szCs w:val="20"/>
        </w:rPr>
        <w:t xml:space="preserve"> to social prescribing. </w:t>
      </w:r>
    </w:p>
    <w:p w14:paraId="12A12197" w14:textId="277BA04A" w:rsidR="00F139A4" w:rsidRDefault="00F139A4" w:rsidP="00F139A4">
      <w:pPr>
        <w:rPr>
          <w:sz w:val="20"/>
          <w:szCs w:val="20"/>
        </w:rPr>
      </w:pPr>
      <w:r>
        <w:rPr>
          <w:sz w:val="20"/>
          <w:szCs w:val="20"/>
        </w:rPr>
        <w:t xml:space="preserve">This document outlines a high-level overview of </w:t>
      </w:r>
      <w:bookmarkStart w:id="0" w:name="_Hlk198295096"/>
      <w:r>
        <w:rPr>
          <w:sz w:val="20"/>
          <w:szCs w:val="20"/>
        </w:rPr>
        <w:t>the</w:t>
      </w:r>
      <w:r w:rsidRPr="00794D30">
        <w:rPr>
          <w:sz w:val="20"/>
          <w:szCs w:val="20"/>
        </w:rPr>
        <w:t xml:space="preserve"> study</w:t>
      </w:r>
      <w:r>
        <w:rPr>
          <w:sz w:val="20"/>
          <w:szCs w:val="20"/>
        </w:rPr>
        <w:t>, including:</w:t>
      </w:r>
    </w:p>
    <w:p w14:paraId="4A9246C4" w14:textId="2A74ABFF" w:rsidR="00F139A4" w:rsidRPr="00F45163" w:rsidRDefault="00F139A4" w:rsidP="00F139A4">
      <w:pPr>
        <w:pStyle w:val="ListParagraph"/>
        <w:numPr>
          <w:ilvl w:val="0"/>
          <w:numId w:val="3"/>
        </w:numPr>
        <w:rPr>
          <w:sz w:val="20"/>
          <w:szCs w:val="20"/>
        </w:rPr>
      </w:pPr>
      <w:r w:rsidRPr="00F45163">
        <w:rPr>
          <w:sz w:val="20"/>
          <w:szCs w:val="20"/>
        </w:rPr>
        <w:t>the importance of social prescribing</w:t>
      </w:r>
      <w:r w:rsidR="00484115" w:rsidRPr="00F45163">
        <w:rPr>
          <w:sz w:val="20"/>
          <w:szCs w:val="20"/>
        </w:rPr>
        <w:t xml:space="preserve"> in the context of social isolation and loneliness</w:t>
      </w:r>
    </w:p>
    <w:p w14:paraId="68B1ADC9" w14:textId="3E85125D" w:rsidR="00F139A4" w:rsidRPr="00F45163" w:rsidRDefault="00F139A4" w:rsidP="00F139A4">
      <w:pPr>
        <w:pStyle w:val="ListParagraph"/>
        <w:numPr>
          <w:ilvl w:val="0"/>
          <w:numId w:val="3"/>
        </w:numPr>
        <w:rPr>
          <w:sz w:val="20"/>
          <w:szCs w:val="20"/>
        </w:rPr>
      </w:pPr>
      <w:r w:rsidRPr="00F45163">
        <w:rPr>
          <w:sz w:val="20"/>
          <w:szCs w:val="20"/>
        </w:rPr>
        <w:t xml:space="preserve">key issues and challenges </w:t>
      </w:r>
    </w:p>
    <w:p w14:paraId="0364D708" w14:textId="267930A7" w:rsidR="00F139A4" w:rsidRPr="00F45163" w:rsidRDefault="00F139A4" w:rsidP="00F139A4">
      <w:pPr>
        <w:pStyle w:val="ListParagraph"/>
        <w:numPr>
          <w:ilvl w:val="0"/>
          <w:numId w:val="3"/>
        </w:numPr>
        <w:rPr>
          <w:sz w:val="20"/>
          <w:szCs w:val="20"/>
        </w:rPr>
      </w:pPr>
      <w:r w:rsidRPr="00F45163">
        <w:rPr>
          <w:sz w:val="20"/>
          <w:szCs w:val="20"/>
        </w:rPr>
        <w:t>economic modellin</w:t>
      </w:r>
      <w:r w:rsidR="00484115" w:rsidRPr="00F45163">
        <w:rPr>
          <w:sz w:val="20"/>
          <w:szCs w:val="20"/>
        </w:rPr>
        <w:t xml:space="preserve">g </w:t>
      </w:r>
    </w:p>
    <w:p w14:paraId="4E9A0DAB" w14:textId="0D124E59" w:rsidR="00F139A4" w:rsidRPr="00F45163" w:rsidRDefault="00F139A4" w:rsidP="00F139A4">
      <w:pPr>
        <w:pStyle w:val="ListParagraph"/>
        <w:numPr>
          <w:ilvl w:val="0"/>
          <w:numId w:val="3"/>
        </w:numPr>
        <w:rPr>
          <w:sz w:val="20"/>
          <w:szCs w:val="20"/>
        </w:rPr>
      </w:pPr>
      <w:r w:rsidRPr="00F45163">
        <w:rPr>
          <w:sz w:val="20"/>
          <w:szCs w:val="20"/>
        </w:rPr>
        <w:t>study outcomes and possible pilot models</w:t>
      </w:r>
    </w:p>
    <w:p w14:paraId="070B4911" w14:textId="21DB318D" w:rsidR="00F139A4" w:rsidRPr="00F45163" w:rsidRDefault="00F139A4" w:rsidP="00F139A4">
      <w:pPr>
        <w:pStyle w:val="ListParagraph"/>
        <w:numPr>
          <w:ilvl w:val="0"/>
          <w:numId w:val="3"/>
        </w:numPr>
        <w:rPr>
          <w:sz w:val="20"/>
          <w:szCs w:val="20"/>
        </w:rPr>
      </w:pPr>
      <w:r w:rsidRPr="00F45163">
        <w:rPr>
          <w:sz w:val="20"/>
          <w:szCs w:val="20"/>
        </w:rPr>
        <w:t>opportunities for leveraging existing infrastructure</w:t>
      </w:r>
      <w:r w:rsidR="00F45163">
        <w:rPr>
          <w:sz w:val="20"/>
          <w:szCs w:val="20"/>
        </w:rPr>
        <w:t>.</w:t>
      </w:r>
      <w:r w:rsidRPr="00F45163">
        <w:rPr>
          <w:sz w:val="20"/>
          <w:szCs w:val="20"/>
        </w:rPr>
        <w:t xml:space="preserve"> </w:t>
      </w:r>
    </w:p>
    <w:bookmarkEnd w:id="0"/>
    <w:p w14:paraId="497764B7" w14:textId="031649F5" w:rsidR="00F45163" w:rsidRDefault="006F36CF" w:rsidP="00F139A4">
      <w:pPr>
        <w:rPr>
          <w:i/>
          <w:iCs/>
          <w:sz w:val="18"/>
          <w:szCs w:val="18"/>
        </w:rPr>
      </w:pPr>
      <w:r>
        <w:rPr>
          <w:i/>
          <w:iCs/>
          <w:sz w:val="18"/>
          <w:szCs w:val="18"/>
        </w:rPr>
        <w:t>_____________________________________________________________________</w:t>
      </w:r>
    </w:p>
    <w:p w14:paraId="6CC6ED2B" w14:textId="4F8F9AF5" w:rsidR="00B031F7" w:rsidRDefault="00B031F7" w:rsidP="00F139A4">
      <w:pPr>
        <w:rPr>
          <w:i/>
          <w:iCs/>
          <w:sz w:val="18"/>
          <w:szCs w:val="18"/>
        </w:rPr>
      </w:pPr>
      <w:r>
        <w:rPr>
          <w:i/>
          <w:iCs/>
          <w:sz w:val="18"/>
          <w:szCs w:val="18"/>
        </w:rPr>
        <w:t>Did you know:</w:t>
      </w:r>
    </w:p>
    <w:p w14:paraId="6F9CA9CA" w14:textId="031CE2BB" w:rsidR="00B031F7" w:rsidRDefault="005A1B89" w:rsidP="00F139A4">
      <w:pPr>
        <w:pStyle w:val="ListParagraph"/>
        <w:numPr>
          <w:ilvl w:val="0"/>
          <w:numId w:val="5"/>
        </w:numPr>
        <w:rPr>
          <w:i/>
          <w:iCs/>
          <w:sz w:val="18"/>
          <w:szCs w:val="18"/>
        </w:rPr>
      </w:pPr>
      <w:r>
        <w:rPr>
          <w:i/>
          <w:iCs/>
          <w:sz w:val="18"/>
          <w:szCs w:val="18"/>
        </w:rPr>
        <w:t>a</w:t>
      </w:r>
      <w:r w:rsidR="00D05142">
        <w:rPr>
          <w:i/>
          <w:iCs/>
          <w:sz w:val="18"/>
          <w:szCs w:val="18"/>
        </w:rPr>
        <w:t>t least one in four Australians aged 12 to 89 experience problematic levels of loneliness</w:t>
      </w:r>
      <w:r>
        <w:rPr>
          <w:i/>
          <w:iCs/>
          <w:sz w:val="18"/>
          <w:szCs w:val="18"/>
        </w:rPr>
        <w:t>, with around five million Australians impacted at any given time</w:t>
      </w:r>
      <w:r>
        <w:rPr>
          <w:rStyle w:val="EndnoteReference"/>
          <w:i/>
          <w:iCs/>
          <w:sz w:val="18"/>
          <w:szCs w:val="18"/>
        </w:rPr>
        <w:endnoteReference w:id="1"/>
      </w:r>
    </w:p>
    <w:p w14:paraId="208CD879" w14:textId="784FF346" w:rsidR="00F45163" w:rsidRDefault="00F45163" w:rsidP="00F139A4">
      <w:pPr>
        <w:pStyle w:val="ListParagraph"/>
        <w:numPr>
          <w:ilvl w:val="0"/>
          <w:numId w:val="5"/>
        </w:numPr>
        <w:rPr>
          <w:i/>
          <w:iCs/>
          <w:sz w:val="18"/>
          <w:szCs w:val="18"/>
        </w:rPr>
      </w:pPr>
      <w:r w:rsidRPr="00B031F7">
        <w:rPr>
          <w:i/>
          <w:iCs/>
          <w:sz w:val="18"/>
          <w:szCs w:val="18"/>
        </w:rPr>
        <w:t>between 6% to 36% of patient presentations to general practitioners (GPs) are because of the impact of non-medical issues on health</w:t>
      </w:r>
      <w:r w:rsidR="005A1B89">
        <w:rPr>
          <w:rStyle w:val="EndnoteReference"/>
          <w:i/>
          <w:iCs/>
          <w:sz w:val="18"/>
          <w:szCs w:val="18"/>
        </w:rPr>
        <w:endnoteReference w:id="2"/>
      </w:r>
    </w:p>
    <w:p w14:paraId="40481C92" w14:textId="2E6A745D" w:rsidR="00D05142" w:rsidRPr="00B031F7" w:rsidRDefault="005A1B89" w:rsidP="00F139A4">
      <w:pPr>
        <w:pStyle w:val="ListParagraph"/>
        <w:numPr>
          <w:ilvl w:val="0"/>
          <w:numId w:val="5"/>
        </w:numPr>
        <w:rPr>
          <w:i/>
          <w:iCs/>
          <w:sz w:val="18"/>
          <w:szCs w:val="18"/>
        </w:rPr>
      </w:pPr>
      <w:r>
        <w:rPr>
          <w:i/>
          <w:iCs/>
          <w:sz w:val="18"/>
          <w:szCs w:val="18"/>
        </w:rPr>
        <w:t>l</w:t>
      </w:r>
      <w:r w:rsidR="00D05142">
        <w:rPr>
          <w:i/>
          <w:iCs/>
          <w:sz w:val="18"/>
          <w:szCs w:val="18"/>
        </w:rPr>
        <w:t>oneliness is as deadly as smoking up to 15 cigarettes a day, and is associated with greater risks of health issues and premature death</w:t>
      </w:r>
      <w:r>
        <w:rPr>
          <w:rStyle w:val="EndnoteReference"/>
          <w:i/>
          <w:iCs/>
          <w:sz w:val="18"/>
          <w:szCs w:val="18"/>
        </w:rPr>
        <w:endnoteReference w:id="3"/>
      </w:r>
    </w:p>
    <w:p w14:paraId="07DC7E09" w14:textId="77777777" w:rsidR="00A07334" w:rsidRDefault="00A07334" w:rsidP="00F45163">
      <w:pPr>
        <w:pStyle w:val="Heading3"/>
      </w:pPr>
    </w:p>
    <w:p w14:paraId="7E7E008B" w14:textId="77777777" w:rsidR="00A07334" w:rsidRDefault="00A07334" w:rsidP="00F45163">
      <w:pPr>
        <w:pStyle w:val="Heading3"/>
      </w:pPr>
    </w:p>
    <w:p w14:paraId="36049537" w14:textId="30DBE21B" w:rsidR="00F45163" w:rsidRPr="007B25F3" w:rsidRDefault="00F45163" w:rsidP="00F45163">
      <w:pPr>
        <w:pStyle w:val="Heading3"/>
      </w:pPr>
      <w:r>
        <w:t>Social isolation and loneliness</w:t>
      </w:r>
    </w:p>
    <w:p w14:paraId="52A6CB0C" w14:textId="77777777" w:rsidR="00A07334" w:rsidRDefault="00A12AC3" w:rsidP="00A12AC3">
      <w:pPr>
        <w:rPr>
          <w:color w:val="000000" w:themeColor="text1"/>
          <w:sz w:val="20"/>
          <w:szCs w:val="20"/>
        </w:rPr>
      </w:pPr>
      <w:r w:rsidRPr="00A12AC3">
        <w:rPr>
          <w:color w:val="000000" w:themeColor="text1"/>
          <w:sz w:val="20"/>
          <w:szCs w:val="20"/>
        </w:rPr>
        <w:t>Social isolation and loneliness are related but not the same. Isolation is the lack of social contact</w:t>
      </w:r>
      <w:r>
        <w:rPr>
          <w:color w:val="000000" w:themeColor="text1"/>
          <w:sz w:val="20"/>
          <w:szCs w:val="20"/>
        </w:rPr>
        <w:t>;</w:t>
      </w:r>
      <w:r w:rsidRPr="00A12AC3">
        <w:rPr>
          <w:color w:val="000000" w:themeColor="text1"/>
          <w:sz w:val="20"/>
          <w:szCs w:val="20"/>
        </w:rPr>
        <w:t xml:space="preserve"> it’s an objective measure based on how often someone interacts with others and the size of their social network. Loneliness is how someone feels</w:t>
      </w:r>
      <w:r>
        <w:rPr>
          <w:color w:val="000000" w:themeColor="text1"/>
          <w:sz w:val="20"/>
          <w:szCs w:val="20"/>
        </w:rPr>
        <w:t>;</w:t>
      </w:r>
      <w:r w:rsidRPr="00A12AC3">
        <w:rPr>
          <w:color w:val="000000" w:themeColor="text1"/>
          <w:sz w:val="20"/>
          <w:szCs w:val="20"/>
        </w:rPr>
        <w:t xml:space="preserve"> it’s a subjective sense of being alone, even if they have people around. Both </w:t>
      </w:r>
      <w:r>
        <w:rPr>
          <w:color w:val="000000" w:themeColor="text1"/>
          <w:sz w:val="20"/>
          <w:szCs w:val="20"/>
        </w:rPr>
        <w:t>can impact</w:t>
      </w:r>
      <w:r w:rsidRPr="00A12AC3">
        <w:rPr>
          <w:color w:val="000000" w:themeColor="text1"/>
          <w:sz w:val="20"/>
          <w:szCs w:val="20"/>
        </w:rPr>
        <w:t xml:space="preserve"> mental and physical health but don’t always happen together. </w:t>
      </w:r>
    </w:p>
    <w:p w14:paraId="2EF8236C" w14:textId="42E7D36D" w:rsidR="00A12AC3" w:rsidRPr="00A12AC3" w:rsidRDefault="00A12AC3" w:rsidP="00A12AC3">
      <w:pPr>
        <w:rPr>
          <w:color w:val="000000" w:themeColor="text1"/>
          <w:sz w:val="20"/>
          <w:szCs w:val="20"/>
        </w:rPr>
      </w:pPr>
      <w:r w:rsidRPr="00A12AC3">
        <w:rPr>
          <w:color w:val="000000" w:themeColor="text1"/>
          <w:sz w:val="20"/>
          <w:szCs w:val="20"/>
        </w:rPr>
        <w:t>This matters when designing support programs, because tackling isolation might not fix loneliness, and vice versa. Each needs different approaches and resources. Measuring results can also be tricky, as reducing isolation doesn’t always lead to people feeling less lonely.</w:t>
      </w:r>
    </w:p>
    <w:p w14:paraId="19A44D24" w14:textId="7AB64BC1" w:rsidR="00F139A4" w:rsidRDefault="00F139A4" w:rsidP="00F139A4">
      <w:pPr>
        <w:rPr>
          <w:b/>
          <w:bCs/>
          <w:sz w:val="20"/>
          <w:szCs w:val="20"/>
        </w:rPr>
      </w:pPr>
      <w:r>
        <w:rPr>
          <w:b/>
          <w:bCs/>
          <w:sz w:val="20"/>
          <w:szCs w:val="20"/>
        </w:rPr>
        <w:t>Key issues and challenges</w:t>
      </w:r>
      <w:r w:rsidR="00F45163">
        <w:rPr>
          <w:b/>
          <w:bCs/>
          <w:sz w:val="20"/>
          <w:szCs w:val="20"/>
        </w:rPr>
        <w:t xml:space="preserve"> </w:t>
      </w:r>
    </w:p>
    <w:p w14:paraId="5AC37939" w14:textId="0910844C" w:rsidR="00653BB7" w:rsidRPr="00653BB7" w:rsidRDefault="0015793D" w:rsidP="00653BB7">
      <w:pPr>
        <w:pStyle w:val="ListParagraph"/>
        <w:numPr>
          <w:ilvl w:val="0"/>
          <w:numId w:val="4"/>
        </w:numPr>
        <w:spacing w:after="160" w:line="278" w:lineRule="auto"/>
        <w:rPr>
          <w:sz w:val="20"/>
          <w:szCs w:val="20"/>
        </w:rPr>
      </w:pPr>
      <w:r>
        <w:rPr>
          <w:sz w:val="20"/>
          <w:szCs w:val="20"/>
        </w:rPr>
        <w:t xml:space="preserve">Existing </w:t>
      </w:r>
      <w:r w:rsidR="00653BB7">
        <w:rPr>
          <w:sz w:val="20"/>
          <w:szCs w:val="20"/>
        </w:rPr>
        <w:t xml:space="preserve">responses to social isolation and loneliness are not addressing the scale of the problem, and innovation is needed. </w:t>
      </w:r>
    </w:p>
    <w:p w14:paraId="544C7E24" w14:textId="77777777" w:rsidR="00653BB7" w:rsidRDefault="00F139A4" w:rsidP="00F139A4">
      <w:pPr>
        <w:pStyle w:val="ListParagraph"/>
        <w:numPr>
          <w:ilvl w:val="0"/>
          <w:numId w:val="4"/>
        </w:numPr>
        <w:spacing w:after="160" w:line="278" w:lineRule="auto"/>
        <w:rPr>
          <w:sz w:val="20"/>
          <w:szCs w:val="20"/>
        </w:rPr>
      </w:pPr>
      <w:r w:rsidRPr="006A700A">
        <w:rPr>
          <w:sz w:val="20"/>
          <w:szCs w:val="20"/>
        </w:rPr>
        <w:t xml:space="preserve">Communities </w:t>
      </w:r>
      <w:r w:rsidR="005A1B89">
        <w:rPr>
          <w:sz w:val="20"/>
          <w:szCs w:val="20"/>
        </w:rPr>
        <w:t xml:space="preserve">and service systems </w:t>
      </w:r>
      <w:r w:rsidRPr="006A700A">
        <w:rPr>
          <w:sz w:val="20"/>
          <w:szCs w:val="20"/>
        </w:rPr>
        <w:t xml:space="preserve">across Queensland have different needs, </w:t>
      </w:r>
      <w:r>
        <w:rPr>
          <w:sz w:val="20"/>
          <w:szCs w:val="20"/>
        </w:rPr>
        <w:t>services,</w:t>
      </w:r>
      <w:r w:rsidRPr="006A700A">
        <w:rPr>
          <w:sz w:val="20"/>
          <w:szCs w:val="20"/>
        </w:rPr>
        <w:t xml:space="preserve"> and strengths</w:t>
      </w:r>
      <w:r w:rsidR="0015793D">
        <w:rPr>
          <w:sz w:val="20"/>
          <w:szCs w:val="20"/>
        </w:rPr>
        <w:t>, and there is no one-size-fits-all solution to addressing social isolation and loneliness.</w:t>
      </w:r>
      <w:r w:rsidR="00653BB7">
        <w:rPr>
          <w:sz w:val="20"/>
          <w:szCs w:val="20"/>
        </w:rPr>
        <w:t xml:space="preserve"> </w:t>
      </w:r>
    </w:p>
    <w:p w14:paraId="0BA29BAB" w14:textId="59B01CC4" w:rsidR="00F139A4" w:rsidRDefault="00653BB7" w:rsidP="00F139A4">
      <w:pPr>
        <w:pStyle w:val="ListParagraph"/>
        <w:numPr>
          <w:ilvl w:val="0"/>
          <w:numId w:val="4"/>
        </w:numPr>
        <w:spacing w:after="160" w:line="278" w:lineRule="auto"/>
        <w:rPr>
          <w:sz w:val="20"/>
          <w:szCs w:val="20"/>
        </w:rPr>
      </w:pPr>
      <w:r>
        <w:rPr>
          <w:sz w:val="20"/>
          <w:szCs w:val="20"/>
        </w:rPr>
        <w:t>Queensland’s population is also dispersed across vast distances and people’s needs differ across metropolitan, regional and remote areas.</w:t>
      </w:r>
    </w:p>
    <w:p w14:paraId="54C292E2" w14:textId="73A58A2D" w:rsidR="00653BB7" w:rsidRPr="00A07334" w:rsidRDefault="00653BB7" w:rsidP="00F139A4">
      <w:pPr>
        <w:pStyle w:val="ListParagraph"/>
        <w:numPr>
          <w:ilvl w:val="0"/>
          <w:numId w:val="4"/>
        </w:numPr>
        <w:spacing w:after="160" w:line="278" w:lineRule="auto"/>
        <w:rPr>
          <w:sz w:val="20"/>
          <w:szCs w:val="20"/>
        </w:rPr>
      </w:pPr>
      <w:r w:rsidRPr="00A07334">
        <w:rPr>
          <w:sz w:val="20"/>
          <w:szCs w:val="20"/>
        </w:rPr>
        <w:t xml:space="preserve">Social isolation and loneliness </w:t>
      </w:r>
      <w:r w:rsidR="00CF240D" w:rsidRPr="00A07334">
        <w:rPr>
          <w:sz w:val="20"/>
          <w:szCs w:val="20"/>
        </w:rPr>
        <w:t>impact</w:t>
      </w:r>
      <w:r w:rsidRPr="00A07334">
        <w:rPr>
          <w:sz w:val="20"/>
          <w:szCs w:val="20"/>
        </w:rPr>
        <w:t xml:space="preserve"> a range of people</w:t>
      </w:r>
      <w:r w:rsidR="00A07334" w:rsidRPr="00A07334">
        <w:rPr>
          <w:sz w:val="20"/>
          <w:szCs w:val="20"/>
        </w:rPr>
        <w:t xml:space="preserve">, and </w:t>
      </w:r>
      <w:r w:rsidR="00A07334">
        <w:rPr>
          <w:sz w:val="20"/>
          <w:szCs w:val="20"/>
        </w:rPr>
        <w:t>providing targeted services</w:t>
      </w:r>
      <w:r w:rsidR="00A07334" w:rsidRPr="00A07334">
        <w:rPr>
          <w:sz w:val="20"/>
          <w:szCs w:val="20"/>
        </w:rPr>
        <w:t xml:space="preserve"> is complex as people’s needs can vary greatly.</w:t>
      </w:r>
    </w:p>
    <w:p w14:paraId="783AB5A0" w14:textId="5C8EC66F" w:rsidR="00F139A4" w:rsidRDefault="00F139A4" w:rsidP="00F139A4">
      <w:pPr>
        <w:pStyle w:val="ListParagraph"/>
        <w:numPr>
          <w:ilvl w:val="0"/>
          <w:numId w:val="4"/>
        </w:numPr>
        <w:spacing w:after="160" w:line="278" w:lineRule="auto"/>
        <w:rPr>
          <w:sz w:val="20"/>
          <w:szCs w:val="20"/>
        </w:rPr>
      </w:pPr>
      <w:r>
        <w:rPr>
          <w:sz w:val="20"/>
          <w:szCs w:val="20"/>
        </w:rPr>
        <w:t>Many</w:t>
      </w:r>
      <w:r w:rsidRPr="006A700A">
        <w:rPr>
          <w:sz w:val="20"/>
          <w:szCs w:val="20"/>
        </w:rPr>
        <w:t xml:space="preserve"> social prescribing </w:t>
      </w:r>
      <w:r>
        <w:rPr>
          <w:sz w:val="20"/>
          <w:szCs w:val="20"/>
        </w:rPr>
        <w:t>initiatives</w:t>
      </w:r>
      <w:r w:rsidRPr="006A700A">
        <w:rPr>
          <w:sz w:val="20"/>
          <w:szCs w:val="20"/>
        </w:rPr>
        <w:t xml:space="preserve"> already </w:t>
      </w:r>
      <w:r>
        <w:rPr>
          <w:sz w:val="20"/>
          <w:szCs w:val="20"/>
        </w:rPr>
        <w:t xml:space="preserve">exist </w:t>
      </w:r>
      <w:r w:rsidRPr="006A700A">
        <w:rPr>
          <w:sz w:val="20"/>
          <w:szCs w:val="20"/>
        </w:rPr>
        <w:t xml:space="preserve">in Queensland, </w:t>
      </w:r>
      <w:r>
        <w:rPr>
          <w:sz w:val="20"/>
          <w:szCs w:val="20"/>
        </w:rPr>
        <w:t>but there is low awareness and understanding of</w:t>
      </w:r>
      <w:r w:rsidR="0015793D">
        <w:rPr>
          <w:sz w:val="20"/>
          <w:szCs w:val="20"/>
        </w:rPr>
        <w:t xml:space="preserve"> their outcomes</w:t>
      </w:r>
      <w:r>
        <w:rPr>
          <w:sz w:val="20"/>
          <w:szCs w:val="20"/>
        </w:rPr>
        <w:t xml:space="preserve">, or </w:t>
      </w:r>
      <w:r w:rsidR="0015793D">
        <w:rPr>
          <w:sz w:val="20"/>
          <w:szCs w:val="20"/>
        </w:rPr>
        <w:t xml:space="preserve">of </w:t>
      </w:r>
      <w:r>
        <w:rPr>
          <w:sz w:val="20"/>
          <w:szCs w:val="20"/>
        </w:rPr>
        <w:t xml:space="preserve">social prescribing more broadly. </w:t>
      </w:r>
    </w:p>
    <w:p w14:paraId="3CED3C3B" w14:textId="77777777" w:rsidR="00F139A4" w:rsidRDefault="00F139A4" w:rsidP="00F139A4">
      <w:pPr>
        <w:pStyle w:val="ListParagraph"/>
        <w:numPr>
          <w:ilvl w:val="0"/>
          <w:numId w:val="4"/>
        </w:numPr>
        <w:spacing w:after="160" w:line="278" w:lineRule="auto"/>
        <w:rPr>
          <w:sz w:val="20"/>
          <w:szCs w:val="20"/>
        </w:rPr>
      </w:pPr>
      <w:r>
        <w:rPr>
          <w:sz w:val="20"/>
          <w:szCs w:val="20"/>
        </w:rPr>
        <w:t>It is challenging to design effective social prescribing models that are accessible</w:t>
      </w:r>
      <w:r w:rsidRPr="006A700A">
        <w:rPr>
          <w:sz w:val="20"/>
          <w:szCs w:val="20"/>
        </w:rPr>
        <w:t xml:space="preserve">, </w:t>
      </w:r>
      <w:r>
        <w:rPr>
          <w:sz w:val="20"/>
          <w:szCs w:val="20"/>
        </w:rPr>
        <w:t>scalable</w:t>
      </w:r>
      <w:r w:rsidRPr="006A700A">
        <w:rPr>
          <w:sz w:val="20"/>
          <w:szCs w:val="20"/>
        </w:rPr>
        <w:t xml:space="preserve">, and </w:t>
      </w:r>
      <w:r>
        <w:rPr>
          <w:sz w:val="20"/>
          <w:szCs w:val="20"/>
        </w:rPr>
        <w:t>sustainable</w:t>
      </w:r>
      <w:r w:rsidRPr="006A700A">
        <w:rPr>
          <w:sz w:val="20"/>
          <w:szCs w:val="20"/>
        </w:rPr>
        <w:t xml:space="preserve">. </w:t>
      </w:r>
    </w:p>
    <w:p w14:paraId="742C842A" w14:textId="4CA0AFB9" w:rsidR="00F139A4" w:rsidRPr="006A700A" w:rsidRDefault="00F139A4" w:rsidP="00F139A4">
      <w:pPr>
        <w:pStyle w:val="ListParagraph"/>
        <w:numPr>
          <w:ilvl w:val="0"/>
          <w:numId w:val="4"/>
        </w:numPr>
        <w:spacing w:after="160" w:line="278" w:lineRule="auto"/>
        <w:rPr>
          <w:sz w:val="20"/>
          <w:szCs w:val="20"/>
        </w:rPr>
      </w:pPr>
      <w:r>
        <w:rPr>
          <w:sz w:val="20"/>
          <w:szCs w:val="20"/>
        </w:rPr>
        <w:t>C</w:t>
      </w:r>
      <w:r w:rsidRPr="006A700A">
        <w:rPr>
          <w:sz w:val="20"/>
          <w:szCs w:val="20"/>
        </w:rPr>
        <w:t xml:space="preserve">ollaboration </w:t>
      </w:r>
      <w:r>
        <w:rPr>
          <w:sz w:val="20"/>
          <w:szCs w:val="20"/>
        </w:rPr>
        <w:t xml:space="preserve">is needed between health, </w:t>
      </w:r>
      <w:r w:rsidR="0015793D">
        <w:rPr>
          <w:sz w:val="20"/>
          <w:szCs w:val="20"/>
        </w:rPr>
        <w:t>social services, health and government sectors</w:t>
      </w:r>
      <w:r w:rsidR="00D05142">
        <w:rPr>
          <w:sz w:val="20"/>
          <w:szCs w:val="20"/>
        </w:rPr>
        <w:t xml:space="preserve"> – and </w:t>
      </w:r>
      <w:r w:rsidR="0015793D">
        <w:rPr>
          <w:sz w:val="20"/>
          <w:szCs w:val="20"/>
        </w:rPr>
        <w:t>national support</w:t>
      </w:r>
      <w:r w:rsidR="00D05142">
        <w:rPr>
          <w:sz w:val="20"/>
          <w:szCs w:val="20"/>
        </w:rPr>
        <w:t xml:space="preserve"> is </w:t>
      </w:r>
      <w:r w:rsidR="0015793D">
        <w:rPr>
          <w:sz w:val="20"/>
          <w:szCs w:val="20"/>
        </w:rPr>
        <w:t>required</w:t>
      </w:r>
      <w:r w:rsidR="00D05142">
        <w:rPr>
          <w:sz w:val="20"/>
          <w:szCs w:val="20"/>
        </w:rPr>
        <w:t xml:space="preserve"> to enable this. </w:t>
      </w:r>
    </w:p>
    <w:p w14:paraId="5CEF0236" w14:textId="26F8BD3F" w:rsidR="00CF240D" w:rsidRDefault="00CF240D" w:rsidP="00CF240D">
      <w:pPr>
        <w:pStyle w:val="ListParagraph"/>
        <w:spacing w:after="160" w:line="278" w:lineRule="auto"/>
        <w:ind w:left="360"/>
        <w:rPr>
          <w:sz w:val="20"/>
          <w:szCs w:val="20"/>
        </w:rPr>
      </w:pPr>
    </w:p>
    <w:p w14:paraId="5A20CA2D" w14:textId="77777777" w:rsidR="00A07334" w:rsidRDefault="00A07334" w:rsidP="00CF240D">
      <w:pPr>
        <w:pStyle w:val="ListParagraph"/>
        <w:spacing w:after="160" w:line="278" w:lineRule="auto"/>
        <w:ind w:left="360"/>
        <w:rPr>
          <w:sz w:val="20"/>
          <w:szCs w:val="20"/>
        </w:rPr>
      </w:pPr>
    </w:p>
    <w:p w14:paraId="7DC5DE43" w14:textId="77777777" w:rsidR="004E3E7F" w:rsidRDefault="004E3E7F" w:rsidP="00CF240D">
      <w:pPr>
        <w:pStyle w:val="ListParagraph"/>
        <w:spacing w:after="160" w:line="278" w:lineRule="auto"/>
        <w:ind w:left="360"/>
        <w:rPr>
          <w:sz w:val="20"/>
          <w:szCs w:val="20"/>
        </w:rPr>
      </w:pPr>
    </w:p>
    <w:p w14:paraId="52C532B2" w14:textId="77777777" w:rsidR="004E3E7F" w:rsidRDefault="004E3E7F" w:rsidP="00CF240D">
      <w:pPr>
        <w:pStyle w:val="ListParagraph"/>
        <w:spacing w:after="160" w:line="278" w:lineRule="auto"/>
        <w:ind w:left="360"/>
        <w:rPr>
          <w:sz w:val="20"/>
          <w:szCs w:val="20"/>
        </w:rPr>
      </w:pPr>
    </w:p>
    <w:p w14:paraId="48CA9BFE" w14:textId="77777777" w:rsidR="004E3E7F" w:rsidRDefault="004E3E7F" w:rsidP="00CF240D">
      <w:pPr>
        <w:pStyle w:val="ListParagraph"/>
        <w:spacing w:after="160" w:line="278" w:lineRule="auto"/>
        <w:ind w:left="360"/>
        <w:rPr>
          <w:sz w:val="20"/>
          <w:szCs w:val="20"/>
        </w:rPr>
      </w:pPr>
    </w:p>
    <w:p w14:paraId="6EB19DF8" w14:textId="77777777" w:rsidR="004E3E7F" w:rsidRDefault="004E3E7F" w:rsidP="00CF240D">
      <w:pPr>
        <w:pStyle w:val="ListParagraph"/>
        <w:spacing w:after="160" w:line="278" w:lineRule="auto"/>
        <w:ind w:left="360"/>
        <w:rPr>
          <w:sz w:val="20"/>
          <w:szCs w:val="20"/>
        </w:rPr>
      </w:pPr>
    </w:p>
    <w:p w14:paraId="185B856E" w14:textId="77777777" w:rsidR="004E3E7F" w:rsidRPr="002725CE" w:rsidRDefault="004E3E7F" w:rsidP="00CF240D">
      <w:pPr>
        <w:pStyle w:val="ListParagraph"/>
        <w:spacing w:after="160" w:line="278" w:lineRule="auto"/>
        <w:ind w:left="360"/>
        <w:rPr>
          <w:sz w:val="20"/>
          <w:szCs w:val="20"/>
        </w:rPr>
      </w:pPr>
    </w:p>
    <w:p w14:paraId="3755BB0B" w14:textId="77777777" w:rsidR="004E3E7F" w:rsidRDefault="004E3E7F" w:rsidP="00F139A4">
      <w:pPr>
        <w:rPr>
          <w:sz w:val="20"/>
          <w:szCs w:val="20"/>
        </w:rPr>
      </w:pPr>
    </w:p>
    <w:p w14:paraId="6DA17B74" w14:textId="6EF56E88" w:rsidR="006F36CF" w:rsidRDefault="006F36CF" w:rsidP="00F139A4">
      <w:pPr>
        <w:rPr>
          <w:sz w:val="20"/>
          <w:szCs w:val="20"/>
        </w:rPr>
      </w:pPr>
      <w:r w:rsidRPr="006F36CF">
        <w:rPr>
          <w:sz w:val="20"/>
          <w:szCs w:val="20"/>
        </w:rPr>
        <w:t>The</w:t>
      </w:r>
      <w:r>
        <w:rPr>
          <w:sz w:val="20"/>
          <w:szCs w:val="20"/>
        </w:rPr>
        <w:t xml:space="preserve"> study considered these challenges, and assumed that </w:t>
      </w:r>
      <w:r w:rsidR="00027292">
        <w:rPr>
          <w:sz w:val="20"/>
          <w:szCs w:val="20"/>
        </w:rPr>
        <w:t>if we focus on:</w:t>
      </w:r>
    </w:p>
    <w:p w14:paraId="069705BC" w14:textId="673A7565" w:rsidR="00960962" w:rsidRDefault="00BC2113" w:rsidP="00960962">
      <w:pPr>
        <w:pStyle w:val="ListParagraph"/>
        <w:numPr>
          <w:ilvl w:val="0"/>
          <w:numId w:val="7"/>
        </w:numPr>
        <w:rPr>
          <w:sz w:val="20"/>
          <w:szCs w:val="20"/>
        </w:rPr>
      </w:pPr>
      <w:r>
        <w:rPr>
          <w:sz w:val="20"/>
          <w:szCs w:val="20"/>
        </w:rPr>
        <w:t>u</w:t>
      </w:r>
      <w:r w:rsidR="00960962">
        <w:rPr>
          <w:sz w:val="20"/>
          <w:szCs w:val="20"/>
        </w:rPr>
        <w:t>sing Queensland’s Neighbourhood Centres, volunteers and existing services to prevent social isolation during life transitions</w:t>
      </w:r>
    </w:p>
    <w:p w14:paraId="270C15EE" w14:textId="1DC96742" w:rsidR="00960962" w:rsidRDefault="00BC2113" w:rsidP="00960962">
      <w:pPr>
        <w:pStyle w:val="ListParagraph"/>
        <w:numPr>
          <w:ilvl w:val="0"/>
          <w:numId w:val="7"/>
        </w:numPr>
        <w:rPr>
          <w:sz w:val="20"/>
          <w:szCs w:val="20"/>
        </w:rPr>
      </w:pPr>
      <w:r>
        <w:rPr>
          <w:sz w:val="20"/>
          <w:szCs w:val="20"/>
        </w:rPr>
        <w:t>s</w:t>
      </w:r>
      <w:r w:rsidR="00960962">
        <w:rPr>
          <w:sz w:val="20"/>
          <w:szCs w:val="20"/>
        </w:rPr>
        <w:t>upporting people with enough self-agency to help themselves and others through social prescribing</w:t>
      </w:r>
    </w:p>
    <w:p w14:paraId="35C18871" w14:textId="3DE65FE7" w:rsidR="00960962" w:rsidRDefault="00BC2113" w:rsidP="00960962">
      <w:pPr>
        <w:pStyle w:val="ListParagraph"/>
        <w:numPr>
          <w:ilvl w:val="0"/>
          <w:numId w:val="7"/>
        </w:numPr>
        <w:rPr>
          <w:sz w:val="20"/>
          <w:szCs w:val="20"/>
        </w:rPr>
      </w:pPr>
      <w:r>
        <w:rPr>
          <w:sz w:val="20"/>
          <w:szCs w:val="20"/>
        </w:rPr>
        <w:t>p</w:t>
      </w:r>
      <w:r w:rsidR="00960962">
        <w:rPr>
          <w:sz w:val="20"/>
          <w:szCs w:val="20"/>
        </w:rPr>
        <w:t>roviding tools, processes and support to make social prescribing work</w:t>
      </w:r>
    </w:p>
    <w:p w14:paraId="6B5A95E8" w14:textId="1515FFD0" w:rsidR="00960962" w:rsidRDefault="00BC2113" w:rsidP="00960962">
      <w:pPr>
        <w:pStyle w:val="ListParagraph"/>
        <w:numPr>
          <w:ilvl w:val="0"/>
          <w:numId w:val="7"/>
        </w:numPr>
        <w:rPr>
          <w:sz w:val="20"/>
          <w:szCs w:val="20"/>
        </w:rPr>
      </w:pPr>
      <w:r>
        <w:rPr>
          <w:sz w:val="20"/>
          <w:szCs w:val="20"/>
        </w:rPr>
        <w:t>m</w:t>
      </w:r>
      <w:r w:rsidR="00960962">
        <w:rPr>
          <w:sz w:val="20"/>
          <w:szCs w:val="20"/>
        </w:rPr>
        <w:t>aking the most of free, low-cost and self-funded activities, and focusing effort where it benefits the mos</w:t>
      </w:r>
      <w:r w:rsidR="00032EAE">
        <w:rPr>
          <w:sz w:val="20"/>
          <w:szCs w:val="20"/>
        </w:rPr>
        <w:t>t</w:t>
      </w:r>
      <w:r w:rsidR="00960962">
        <w:rPr>
          <w:sz w:val="20"/>
          <w:szCs w:val="20"/>
        </w:rPr>
        <w:t xml:space="preserve"> people</w:t>
      </w:r>
    </w:p>
    <w:p w14:paraId="4315B613" w14:textId="10D7D131" w:rsidR="00960962" w:rsidRDefault="00960962" w:rsidP="00960962">
      <w:pPr>
        <w:rPr>
          <w:sz w:val="20"/>
          <w:szCs w:val="20"/>
        </w:rPr>
      </w:pPr>
      <w:r>
        <w:rPr>
          <w:sz w:val="20"/>
          <w:szCs w:val="20"/>
        </w:rPr>
        <w:t>By:</w:t>
      </w:r>
    </w:p>
    <w:p w14:paraId="68938F88" w14:textId="6281322E" w:rsidR="00960962" w:rsidRDefault="00BC2113" w:rsidP="00960962">
      <w:pPr>
        <w:pStyle w:val="ListParagraph"/>
        <w:numPr>
          <w:ilvl w:val="0"/>
          <w:numId w:val="7"/>
        </w:numPr>
        <w:rPr>
          <w:sz w:val="20"/>
          <w:szCs w:val="20"/>
        </w:rPr>
      </w:pPr>
      <w:r>
        <w:rPr>
          <w:sz w:val="20"/>
          <w:szCs w:val="20"/>
        </w:rPr>
        <w:t>r</w:t>
      </w:r>
      <w:r w:rsidR="00960962">
        <w:rPr>
          <w:sz w:val="20"/>
          <w:szCs w:val="20"/>
        </w:rPr>
        <w:t>aising awareness of social prescribing and how people can get involved</w:t>
      </w:r>
    </w:p>
    <w:p w14:paraId="5B4E8C48" w14:textId="69D5F89F" w:rsidR="00960962" w:rsidRDefault="00BC2113" w:rsidP="00960962">
      <w:pPr>
        <w:pStyle w:val="ListParagraph"/>
        <w:numPr>
          <w:ilvl w:val="0"/>
          <w:numId w:val="7"/>
        </w:numPr>
        <w:rPr>
          <w:sz w:val="20"/>
          <w:szCs w:val="20"/>
        </w:rPr>
      </w:pPr>
      <w:r>
        <w:rPr>
          <w:sz w:val="20"/>
          <w:szCs w:val="20"/>
        </w:rPr>
        <w:t>i</w:t>
      </w:r>
      <w:r w:rsidR="00960962">
        <w:rPr>
          <w:sz w:val="20"/>
          <w:szCs w:val="20"/>
        </w:rPr>
        <w:t>dentifying gaps, boosting existing programs, and supporting flexible local solutions</w:t>
      </w:r>
    </w:p>
    <w:p w14:paraId="12ECACC0" w14:textId="053BF417" w:rsidR="00960962" w:rsidRDefault="00BC2113" w:rsidP="00960962">
      <w:pPr>
        <w:pStyle w:val="ListParagraph"/>
        <w:numPr>
          <w:ilvl w:val="0"/>
          <w:numId w:val="7"/>
        </w:numPr>
        <w:rPr>
          <w:sz w:val="20"/>
          <w:szCs w:val="20"/>
        </w:rPr>
      </w:pPr>
      <w:r>
        <w:rPr>
          <w:sz w:val="20"/>
          <w:szCs w:val="20"/>
        </w:rPr>
        <w:t>t</w:t>
      </w:r>
      <w:r w:rsidR="00960962">
        <w:rPr>
          <w:sz w:val="20"/>
          <w:szCs w:val="20"/>
        </w:rPr>
        <w:t>racking results and sharing what works, so the system keeps improving</w:t>
      </w:r>
    </w:p>
    <w:p w14:paraId="4B50A320" w14:textId="1B8353F1" w:rsidR="00960962" w:rsidRDefault="00960962" w:rsidP="00960962">
      <w:pPr>
        <w:rPr>
          <w:sz w:val="20"/>
          <w:szCs w:val="20"/>
        </w:rPr>
      </w:pPr>
      <w:r>
        <w:rPr>
          <w:sz w:val="20"/>
          <w:szCs w:val="20"/>
        </w:rPr>
        <w:t>This could:</w:t>
      </w:r>
    </w:p>
    <w:p w14:paraId="05A835F3" w14:textId="42820DBF" w:rsidR="00960962" w:rsidRDefault="00BC2113" w:rsidP="00960962">
      <w:pPr>
        <w:pStyle w:val="ListParagraph"/>
        <w:numPr>
          <w:ilvl w:val="0"/>
          <w:numId w:val="7"/>
        </w:numPr>
        <w:rPr>
          <w:sz w:val="20"/>
          <w:szCs w:val="20"/>
        </w:rPr>
      </w:pPr>
      <w:r>
        <w:rPr>
          <w:sz w:val="20"/>
          <w:szCs w:val="20"/>
        </w:rPr>
        <w:t>h</w:t>
      </w:r>
      <w:r w:rsidR="00960962">
        <w:rPr>
          <w:sz w:val="20"/>
          <w:szCs w:val="20"/>
        </w:rPr>
        <w:t>elp prevent the harm caused by social isolation and loneliness</w:t>
      </w:r>
    </w:p>
    <w:p w14:paraId="09F057A5" w14:textId="1086C499" w:rsidR="00960962" w:rsidRDefault="00BC2113" w:rsidP="00960962">
      <w:pPr>
        <w:pStyle w:val="ListParagraph"/>
        <w:numPr>
          <w:ilvl w:val="0"/>
          <w:numId w:val="7"/>
        </w:numPr>
        <w:rPr>
          <w:sz w:val="20"/>
          <w:szCs w:val="20"/>
        </w:rPr>
      </w:pPr>
      <w:r>
        <w:rPr>
          <w:sz w:val="20"/>
          <w:szCs w:val="20"/>
        </w:rPr>
        <w:t>e</w:t>
      </w:r>
      <w:r w:rsidR="00960962">
        <w:rPr>
          <w:sz w:val="20"/>
          <w:szCs w:val="20"/>
        </w:rPr>
        <w:t>ase pressure on overstretched health and social services</w:t>
      </w:r>
    </w:p>
    <w:p w14:paraId="5C1077DB" w14:textId="633C7C31" w:rsidR="00960962" w:rsidRDefault="00960962" w:rsidP="00960962">
      <w:pPr>
        <w:rPr>
          <w:sz w:val="20"/>
          <w:szCs w:val="20"/>
        </w:rPr>
      </w:pPr>
      <w:r>
        <w:rPr>
          <w:sz w:val="20"/>
          <w:szCs w:val="20"/>
        </w:rPr>
        <w:t>And lead to:</w:t>
      </w:r>
    </w:p>
    <w:p w14:paraId="09E10AB0" w14:textId="76AF4381" w:rsidR="00960962" w:rsidRDefault="00BC2113" w:rsidP="00960962">
      <w:pPr>
        <w:pStyle w:val="ListParagraph"/>
        <w:numPr>
          <w:ilvl w:val="0"/>
          <w:numId w:val="7"/>
        </w:numPr>
        <w:rPr>
          <w:sz w:val="20"/>
          <w:szCs w:val="20"/>
        </w:rPr>
      </w:pPr>
      <w:r>
        <w:rPr>
          <w:sz w:val="20"/>
          <w:szCs w:val="20"/>
        </w:rPr>
        <w:t>a</w:t>
      </w:r>
      <w:r w:rsidR="00960962">
        <w:rPr>
          <w:sz w:val="20"/>
          <w:szCs w:val="20"/>
        </w:rPr>
        <w:t xml:space="preserve"> more connected health, social and community system that supports people early and encourages self-agency</w:t>
      </w:r>
    </w:p>
    <w:p w14:paraId="441EC41B" w14:textId="52A183F4" w:rsidR="00960962" w:rsidRDefault="00BC2113" w:rsidP="00960962">
      <w:pPr>
        <w:pStyle w:val="ListParagraph"/>
        <w:numPr>
          <w:ilvl w:val="0"/>
          <w:numId w:val="7"/>
        </w:numPr>
        <w:rPr>
          <w:sz w:val="20"/>
          <w:szCs w:val="20"/>
        </w:rPr>
      </w:pPr>
      <w:r>
        <w:rPr>
          <w:sz w:val="20"/>
          <w:szCs w:val="20"/>
        </w:rPr>
        <w:t>f</w:t>
      </w:r>
      <w:r w:rsidR="00960962">
        <w:rPr>
          <w:sz w:val="20"/>
          <w:szCs w:val="20"/>
        </w:rPr>
        <w:t>ewer people from priority groups slipping through service gaps</w:t>
      </w:r>
    </w:p>
    <w:p w14:paraId="0426CF16" w14:textId="4D9F4E45" w:rsidR="00960962" w:rsidRDefault="00BC2113" w:rsidP="00960962">
      <w:pPr>
        <w:pStyle w:val="ListParagraph"/>
        <w:numPr>
          <w:ilvl w:val="0"/>
          <w:numId w:val="7"/>
        </w:numPr>
        <w:rPr>
          <w:sz w:val="20"/>
          <w:szCs w:val="20"/>
        </w:rPr>
      </w:pPr>
      <w:r>
        <w:rPr>
          <w:sz w:val="20"/>
          <w:szCs w:val="20"/>
        </w:rPr>
        <w:t>m</w:t>
      </w:r>
      <w:r w:rsidR="00960962">
        <w:rPr>
          <w:sz w:val="20"/>
          <w:szCs w:val="20"/>
        </w:rPr>
        <w:t>ore people and communities experiencing positive life transitions</w:t>
      </w:r>
    </w:p>
    <w:p w14:paraId="6222B1A2" w14:textId="35B6EAAF" w:rsidR="00960962" w:rsidRDefault="00960962" w:rsidP="00960962">
      <w:pPr>
        <w:rPr>
          <w:sz w:val="20"/>
          <w:szCs w:val="20"/>
        </w:rPr>
      </w:pPr>
      <w:r>
        <w:rPr>
          <w:sz w:val="20"/>
          <w:szCs w:val="20"/>
        </w:rPr>
        <w:t>Long-term, this could:</w:t>
      </w:r>
    </w:p>
    <w:p w14:paraId="4251F9A0" w14:textId="6E5E4BAF" w:rsidR="00960962" w:rsidRDefault="00BC2113" w:rsidP="00960962">
      <w:pPr>
        <w:pStyle w:val="ListParagraph"/>
        <w:numPr>
          <w:ilvl w:val="0"/>
          <w:numId w:val="7"/>
        </w:numPr>
        <w:rPr>
          <w:sz w:val="20"/>
          <w:szCs w:val="20"/>
        </w:rPr>
      </w:pPr>
      <w:r>
        <w:rPr>
          <w:sz w:val="20"/>
          <w:szCs w:val="20"/>
        </w:rPr>
        <w:t>t</w:t>
      </w:r>
      <w:r w:rsidR="00960962">
        <w:rPr>
          <w:sz w:val="20"/>
          <w:szCs w:val="20"/>
        </w:rPr>
        <w:t>ackle the root causes of poor social connection and health inequality</w:t>
      </w:r>
    </w:p>
    <w:p w14:paraId="4557C6A4" w14:textId="018B072F" w:rsidR="00960962" w:rsidRPr="00960962" w:rsidRDefault="00BC2113" w:rsidP="00960962">
      <w:pPr>
        <w:pStyle w:val="ListParagraph"/>
        <w:numPr>
          <w:ilvl w:val="0"/>
          <w:numId w:val="7"/>
        </w:numPr>
        <w:rPr>
          <w:sz w:val="20"/>
          <w:szCs w:val="20"/>
        </w:rPr>
      </w:pPr>
      <w:r>
        <w:rPr>
          <w:sz w:val="20"/>
          <w:szCs w:val="20"/>
        </w:rPr>
        <w:t>b</w:t>
      </w:r>
      <w:r w:rsidR="00960962">
        <w:rPr>
          <w:sz w:val="20"/>
          <w:szCs w:val="20"/>
        </w:rPr>
        <w:t xml:space="preserve">oost social connectedness by empowering people and encouraging place-based, preventative care, reduce demand on health and social services for preventable issues. </w:t>
      </w:r>
    </w:p>
    <w:p w14:paraId="045714E7" w14:textId="77777777" w:rsidR="00960962" w:rsidRDefault="00960962" w:rsidP="00F139A4">
      <w:pPr>
        <w:rPr>
          <w:b/>
          <w:bCs/>
          <w:sz w:val="20"/>
          <w:szCs w:val="20"/>
        </w:rPr>
      </w:pPr>
    </w:p>
    <w:p w14:paraId="67A28C59" w14:textId="7236A8EF" w:rsidR="00F139A4" w:rsidRPr="00F139A4" w:rsidRDefault="00F139A4" w:rsidP="00F139A4">
      <w:pPr>
        <w:rPr>
          <w:b/>
          <w:bCs/>
          <w:sz w:val="20"/>
          <w:szCs w:val="20"/>
        </w:rPr>
      </w:pPr>
      <w:r>
        <w:rPr>
          <w:b/>
          <w:bCs/>
          <w:sz w:val="20"/>
          <w:szCs w:val="20"/>
        </w:rPr>
        <w:lastRenderedPageBreak/>
        <w:t>Economic modelling</w:t>
      </w:r>
    </w:p>
    <w:p w14:paraId="1197DA47" w14:textId="532D9A47" w:rsidR="00CF240D" w:rsidRDefault="0015793D" w:rsidP="00F139A4">
      <w:pPr>
        <w:rPr>
          <w:sz w:val="20"/>
          <w:szCs w:val="20"/>
        </w:rPr>
      </w:pPr>
      <w:r w:rsidRPr="0015793D">
        <w:rPr>
          <w:sz w:val="20"/>
          <w:szCs w:val="20"/>
        </w:rPr>
        <w:t xml:space="preserve">The intent of a pilot is to connect individuals to community-based resources and support, to improve their social connections and well-being. </w:t>
      </w:r>
      <w:r w:rsidR="00960962">
        <w:rPr>
          <w:sz w:val="20"/>
          <w:szCs w:val="20"/>
        </w:rPr>
        <w:t xml:space="preserve">The study </w:t>
      </w:r>
      <w:r w:rsidR="004E3E7F">
        <w:rPr>
          <w:sz w:val="20"/>
          <w:szCs w:val="20"/>
        </w:rPr>
        <w:t>noted</w:t>
      </w:r>
      <w:r w:rsidR="00960962">
        <w:rPr>
          <w:sz w:val="20"/>
          <w:szCs w:val="20"/>
        </w:rPr>
        <w:t xml:space="preserve"> that this</w:t>
      </w:r>
      <w:r w:rsidRPr="0015793D">
        <w:rPr>
          <w:sz w:val="20"/>
          <w:szCs w:val="20"/>
        </w:rPr>
        <w:t xml:space="preserve">, in turn, is expected to slow the growth in demand on healthcare services and contribute to healthier, more connected communities. </w:t>
      </w:r>
    </w:p>
    <w:p w14:paraId="7BA7EDBC" w14:textId="03FF9BA1" w:rsidR="00CF240D" w:rsidRDefault="0015793D" w:rsidP="00F139A4">
      <w:pPr>
        <w:rPr>
          <w:sz w:val="20"/>
          <w:szCs w:val="20"/>
        </w:rPr>
      </w:pPr>
      <w:r w:rsidRPr="0015793D">
        <w:rPr>
          <w:sz w:val="20"/>
          <w:szCs w:val="20"/>
        </w:rPr>
        <w:t xml:space="preserve">The direct cost impact of interventions that address social isolation and loneliness </w:t>
      </w:r>
      <w:r w:rsidR="00027292">
        <w:rPr>
          <w:sz w:val="20"/>
          <w:szCs w:val="20"/>
        </w:rPr>
        <w:t>was</w:t>
      </w:r>
      <w:r w:rsidRPr="0015793D">
        <w:rPr>
          <w:sz w:val="20"/>
          <w:szCs w:val="20"/>
        </w:rPr>
        <w:t xml:space="preserve"> considered through health costs, changes in employment outcomes or reduced government service </w:t>
      </w:r>
      <w:r w:rsidR="00027292">
        <w:rPr>
          <w:sz w:val="20"/>
          <w:szCs w:val="20"/>
        </w:rPr>
        <w:t>use</w:t>
      </w:r>
      <w:r w:rsidRPr="0015793D">
        <w:rPr>
          <w:sz w:val="20"/>
          <w:szCs w:val="20"/>
        </w:rPr>
        <w:t>. study confirmed that social prescribing can help reduce the growing demand for health services</w:t>
      </w:r>
      <w:r w:rsidR="00960962">
        <w:rPr>
          <w:sz w:val="20"/>
          <w:szCs w:val="20"/>
        </w:rPr>
        <w:t>,</w:t>
      </w:r>
      <w:r w:rsidRPr="0015793D">
        <w:rPr>
          <w:sz w:val="20"/>
          <w:szCs w:val="20"/>
        </w:rPr>
        <w:t xml:space="preserve"> </w:t>
      </w:r>
      <w:r w:rsidR="00960962">
        <w:rPr>
          <w:sz w:val="20"/>
          <w:szCs w:val="20"/>
        </w:rPr>
        <w:t>h</w:t>
      </w:r>
      <w:r w:rsidRPr="0015793D">
        <w:rPr>
          <w:sz w:val="20"/>
          <w:szCs w:val="20"/>
        </w:rPr>
        <w:t xml:space="preserve">owever, intervening will only slow health expenditure growth — about 1% per year less than if issues are left unaddressed. </w:t>
      </w:r>
    </w:p>
    <w:p w14:paraId="19683269" w14:textId="099D8946" w:rsidR="00F139A4" w:rsidRPr="00876E0D" w:rsidRDefault="0015793D" w:rsidP="00F139A4">
      <w:pPr>
        <w:rPr>
          <w:sz w:val="20"/>
          <w:szCs w:val="20"/>
        </w:rPr>
      </w:pPr>
      <w:r w:rsidRPr="0015793D">
        <w:rPr>
          <w:sz w:val="20"/>
          <w:szCs w:val="20"/>
        </w:rPr>
        <w:t>Over 20 years, this could result in a 20% reduction in health costs for individuals whose social isolation and loneliness are addressed compared to those whose issues are ignored.</w:t>
      </w:r>
      <w:r>
        <w:rPr>
          <w:sz w:val="20"/>
          <w:szCs w:val="20"/>
        </w:rPr>
        <w:t xml:space="preserve"> </w:t>
      </w:r>
      <w:r w:rsidR="00F139A4" w:rsidRPr="00876E0D">
        <w:rPr>
          <w:sz w:val="20"/>
          <w:szCs w:val="20"/>
        </w:rPr>
        <w:t xml:space="preserve">Early, sustained, and well-monitored intervention is essential. </w:t>
      </w:r>
    </w:p>
    <w:p w14:paraId="270DD87E" w14:textId="77777777" w:rsidR="00F139A4" w:rsidRPr="00794D30" w:rsidRDefault="00F139A4" w:rsidP="00F139A4">
      <w:pPr>
        <w:rPr>
          <w:b/>
          <w:bCs/>
          <w:sz w:val="20"/>
          <w:szCs w:val="20"/>
        </w:rPr>
      </w:pPr>
      <w:r>
        <w:rPr>
          <w:b/>
          <w:bCs/>
          <w:sz w:val="20"/>
          <w:szCs w:val="20"/>
        </w:rPr>
        <w:t>Pilot models</w:t>
      </w:r>
    </w:p>
    <w:p w14:paraId="59371B7C" w14:textId="605A13CB" w:rsidR="00F139A4" w:rsidRDefault="00F139A4" w:rsidP="00F139A4">
      <w:pPr>
        <w:rPr>
          <w:sz w:val="20"/>
          <w:szCs w:val="20"/>
        </w:rPr>
      </w:pPr>
      <w:r w:rsidRPr="00794D30">
        <w:rPr>
          <w:sz w:val="20"/>
          <w:szCs w:val="20"/>
        </w:rPr>
        <w:t>The study</w:t>
      </w:r>
      <w:r>
        <w:rPr>
          <w:sz w:val="20"/>
          <w:szCs w:val="20"/>
        </w:rPr>
        <w:t xml:space="preserve"> looked at evidence to produce options that could help build and test a social prescribing system in Queensland that connects communities and health </w:t>
      </w:r>
      <w:r w:rsidR="0015793D">
        <w:rPr>
          <w:sz w:val="20"/>
          <w:szCs w:val="20"/>
        </w:rPr>
        <w:t xml:space="preserve">and community </w:t>
      </w:r>
      <w:r>
        <w:rPr>
          <w:sz w:val="20"/>
          <w:szCs w:val="20"/>
        </w:rPr>
        <w:t xml:space="preserve">services. It found that a pilot that could be tested for economic feasibility, supports people going through life transitions who are at risk of loneliness and isolation, and focuses on preventing long-term negative outcomes would be the most appropriate. </w:t>
      </w:r>
    </w:p>
    <w:p w14:paraId="23913191" w14:textId="58853574" w:rsidR="004E3E7F" w:rsidRDefault="00F139A4" w:rsidP="00F139A4">
      <w:pPr>
        <w:rPr>
          <w:sz w:val="20"/>
          <w:szCs w:val="20"/>
        </w:rPr>
      </w:pPr>
      <w:r w:rsidRPr="00256736">
        <w:rPr>
          <w:sz w:val="20"/>
          <w:szCs w:val="20"/>
        </w:rPr>
        <w:t xml:space="preserve">Four models (cost-neutral, universal, targeted and intensive) </w:t>
      </w:r>
      <w:r w:rsidR="00484115">
        <w:rPr>
          <w:sz w:val="20"/>
          <w:szCs w:val="20"/>
        </w:rPr>
        <w:t>were</w:t>
      </w:r>
      <w:r w:rsidRPr="00256736">
        <w:rPr>
          <w:sz w:val="20"/>
          <w:szCs w:val="20"/>
        </w:rPr>
        <w:t xml:space="preserve"> identified as feasible for a pilot.</w:t>
      </w:r>
      <w:r w:rsidR="0015793D">
        <w:rPr>
          <w:sz w:val="20"/>
          <w:szCs w:val="20"/>
        </w:rPr>
        <w:t xml:space="preserve"> If implemented, tailored evaluation of each model </w:t>
      </w:r>
      <w:r w:rsidR="006F36CF">
        <w:rPr>
          <w:sz w:val="20"/>
          <w:szCs w:val="20"/>
        </w:rPr>
        <w:t>was suggested to inform any future implementation.</w:t>
      </w:r>
      <w:r w:rsidR="004E3E7F">
        <w:rPr>
          <w:sz w:val="20"/>
          <w:szCs w:val="20"/>
        </w:rPr>
        <w:t xml:space="preserve"> Notably, the study found that co-production should be a core principle of any pilot, as individual and local needs, approaches, existing services and activities, gaps and challenges will differ from person to person and place to place. </w:t>
      </w:r>
    </w:p>
    <w:p w14:paraId="74FE045F" w14:textId="77777777" w:rsidR="00F139A4" w:rsidRPr="00794D30" w:rsidRDefault="00F139A4" w:rsidP="00F139A4">
      <w:pPr>
        <w:rPr>
          <w:b/>
          <w:bCs/>
          <w:sz w:val="20"/>
          <w:szCs w:val="20"/>
        </w:rPr>
      </w:pPr>
      <w:r w:rsidRPr="0018794D">
        <w:rPr>
          <w:b/>
          <w:bCs/>
          <w:sz w:val="20"/>
          <w:szCs w:val="20"/>
        </w:rPr>
        <w:t>Leveraging existing resources</w:t>
      </w:r>
    </w:p>
    <w:p w14:paraId="4DDB359C" w14:textId="6DA48998" w:rsidR="004E3E7F" w:rsidRDefault="00D82CA0" w:rsidP="00F139A4">
      <w:pPr>
        <w:rPr>
          <w:sz w:val="20"/>
          <w:szCs w:val="20"/>
        </w:rPr>
      </w:pPr>
      <w:r>
        <w:rPr>
          <w:sz w:val="20"/>
          <w:szCs w:val="20"/>
        </w:rPr>
        <w:t>There is a strong base of work already underway in Queensland that could be scaled or aligned to support social prescribing efforts.</w:t>
      </w:r>
    </w:p>
    <w:p w14:paraId="356C19AD" w14:textId="77777777" w:rsidR="004E3E7F" w:rsidRDefault="004E3E7F" w:rsidP="00F139A4">
      <w:pPr>
        <w:rPr>
          <w:sz w:val="20"/>
          <w:szCs w:val="20"/>
        </w:rPr>
      </w:pPr>
    </w:p>
    <w:p w14:paraId="20DBE1C7" w14:textId="77777777" w:rsidR="004E3E7F" w:rsidRDefault="004E3E7F" w:rsidP="00F139A4">
      <w:pPr>
        <w:rPr>
          <w:sz w:val="20"/>
          <w:szCs w:val="20"/>
        </w:rPr>
      </w:pPr>
    </w:p>
    <w:p w14:paraId="6073F87B" w14:textId="77777777" w:rsidR="00F139A4" w:rsidRPr="00D82CA0" w:rsidRDefault="00F139A4" w:rsidP="00F139A4">
      <w:pPr>
        <w:rPr>
          <w:i/>
          <w:iCs/>
          <w:sz w:val="20"/>
          <w:szCs w:val="20"/>
        </w:rPr>
      </w:pPr>
      <w:r w:rsidRPr="00D82CA0">
        <w:rPr>
          <w:i/>
          <w:iCs/>
          <w:sz w:val="20"/>
          <w:szCs w:val="20"/>
        </w:rPr>
        <w:t>Sector capability</w:t>
      </w:r>
    </w:p>
    <w:p w14:paraId="79B2BB60" w14:textId="3010F7F0" w:rsidR="00D82CA0" w:rsidRDefault="00D82CA0" w:rsidP="00F139A4">
      <w:pPr>
        <w:rPr>
          <w:sz w:val="20"/>
          <w:szCs w:val="20"/>
        </w:rPr>
      </w:pPr>
      <w:r w:rsidRPr="00D82CA0">
        <w:rPr>
          <w:sz w:val="20"/>
          <w:szCs w:val="20"/>
        </w:rPr>
        <w:t xml:space="preserve">A statewide </w:t>
      </w:r>
      <w:r w:rsidR="006F36CF">
        <w:rPr>
          <w:sz w:val="20"/>
          <w:szCs w:val="20"/>
        </w:rPr>
        <w:t>social isolation and loneliness network</w:t>
      </w:r>
      <w:r w:rsidRPr="00D82CA0">
        <w:rPr>
          <w:sz w:val="20"/>
          <w:szCs w:val="20"/>
        </w:rPr>
        <w:t xml:space="preserve">, co-led by </w:t>
      </w:r>
      <w:r w:rsidR="006F36CF">
        <w:rPr>
          <w:sz w:val="20"/>
          <w:szCs w:val="20"/>
        </w:rPr>
        <w:t>the Queensland Council of Social Service (QCOSS) and the department</w:t>
      </w:r>
      <w:r w:rsidRPr="00D82CA0">
        <w:rPr>
          <w:sz w:val="20"/>
          <w:szCs w:val="20"/>
        </w:rPr>
        <w:t xml:space="preserve">, is </w:t>
      </w:r>
      <w:r w:rsidR="006F36CF">
        <w:rPr>
          <w:sz w:val="20"/>
          <w:szCs w:val="20"/>
        </w:rPr>
        <w:t>being established</w:t>
      </w:r>
      <w:r w:rsidRPr="00D82CA0">
        <w:rPr>
          <w:sz w:val="20"/>
          <w:szCs w:val="20"/>
        </w:rPr>
        <w:t xml:space="preserve"> </w:t>
      </w:r>
      <w:r w:rsidR="006F36CF">
        <w:rPr>
          <w:sz w:val="20"/>
          <w:szCs w:val="20"/>
        </w:rPr>
        <w:t xml:space="preserve">to </w:t>
      </w:r>
      <w:r w:rsidRPr="00D82CA0">
        <w:rPr>
          <w:sz w:val="20"/>
          <w:szCs w:val="20"/>
        </w:rPr>
        <w:t xml:space="preserve">build knowledge and capability across the community sector. </w:t>
      </w:r>
      <w:r w:rsidR="006F36CF">
        <w:rPr>
          <w:sz w:val="20"/>
          <w:szCs w:val="20"/>
        </w:rPr>
        <w:t>Development of a</w:t>
      </w:r>
      <w:r w:rsidRPr="00D82CA0">
        <w:rPr>
          <w:sz w:val="20"/>
          <w:szCs w:val="20"/>
        </w:rPr>
        <w:t xml:space="preserve"> micro-credential</w:t>
      </w:r>
      <w:r w:rsidR="006F36CF">
        <w:rPr>
          <w:sz w:val="20"/>
          <w:szCs w:val="20"/>
        </w:rPr>
        <w:t xml:space="preserve"> is also underway in partnership with TAFE Queensland</w:t>
      </w:r>
      <w:r w:rsidRPr="00D82CA0">
        <w:rPr>
          <w:sz w:val="20"/>
          <w:szCs w:val="20"/>
        </w:rPr>
        <w:t xml:space="preserve">, shaped by lived experience and frontline insights. This will help </w:t>
      </w:r>
      <w:r w:rsidR="006F36CF">
        <w:rPr>
          <w:sz w:val="20"/>
          <w:szCs w:val="20"/>
        </w:rPr>
        <w:t>support capacity building and professional development</w:t>
      </w:r>
      <w:r w:rsidRPr="00D82CA0">
        <w:rPr>
          <w:sz w:val="20"/>
          <w:szCs w:val="20"/>
        </w:rPr>
        <w:t xml:space="preserve"> in social connection work.</w:t>
      </w:r>
    </w:p>
    <w:p w14:paraId="5C106923" w14:textId="77777777" w:rsidR="00F139A4" w:rsidRDefault="00F139A4" w:rsidP="00F139A4">
      <w:pPr>
        <w:rPr>
          <w:i/>
          <w:iCs/>
          <w:sz w:val="20"/>
          <w:szCs w:val="20"/>
        </w:rPr>
      </w:pPr>
      <w:r w:rsidRPr="00D82CA0">
        <w:rPr>
          <w:i/>
          <w:iCs/>
          <w:sz w:val="20"/>
          <w:szCs w:val="20"/>
        </w:rPr>
        <w:t>Neighbourhood Centres</w:t>
      </w:r>
    </w:p>
    <w:p w14:paraId="3F868D00" w14:textId="46EA20CF" w:rsidR="00D82CA0" w:rsidRPr="00D82CA0" w:rsidRDefault="00D82CA0" w:rsidP="00F139A4">
      <w:pPr>
        <w:rPr>
          <w:sz w:val="20"/>
          <w:szCs w:val="20"/>
        </w:rPr>
      </w:pPr>
      <w:r w:rsidRPr="00D82CA0">
        <w:rPr>
          <w:sz w:val="20"/>
          <w:szCs w:val="20"/>
        </w:rPr>
        <w:t xml:space="preserve">Queensland’s </w:t>
      </w:r>
      <w:r w:rsidR="00027292">
        <w:rPr>
          <w:sz w:val="20"/>
          <w:szCs w:val="20"/>
        </w:rPr>
        <w:t>vast network of</w:t>
      </w:r>
      <w:r w:rsidRPr="00D82CA0">
        <w:rPr>
          <w:sz w:val="20"/>
          <w:szCs w:val="20"/>
        </w:rPr>
        <w:t xml:space="preserve"> Neighbourhood and Community Centres are trusted, local hubs already supporting community connection and inclusion. These sites offer valuable learnings and infrastructure for future expansion</w:t>
      </w:r>
      <w:r>
        <w:rPr>
          <w:sz w:val="20"/>
          <w:szCs w:val="20"/>
        </w:rPr>
        <w:t xml:space="preserve"> of social prescribing</w:t>
      </w:r>
      <w:r w:rsidR="00BC2113">
        <w:rPr>
          <w:sz w:val="20"/>
          <w:szCs w:val="20"/>
        </w:rPr>
        <w:t>.</w:t>
      </w:r>
      <w:r w:rsidR="006F36CF">
        <w:rPr>
          <w:sz w:val="20"/>
          <w:szCs w:val="20"/>
        </w:rPr>
        <w:t xml:space="preserve"> </w:t>
      </w:r>
    </w:p>
    <w:p w14:paraId="7C9E577A" w14:textId="77777777" w:rsidR="00F139A4" w:rsidRPr="00D82CA0" w:rsidRDefault="00F139A4" w:rsidP="00F139A4">
      <w:pPr>
        <w:rPr>
          <w:i/>
          <w:iCs/>
          <w:sz w:val="20"/>
          <w:szCs w:val="20"/>
        </w:rPr>
      </w:pPr>
      <w:r w:rsidRPr="00D82CA0">
        <w:rPr>
          <w:i/>
          <w:iCs/>
          <w:sz w:val="20"/>
          <w:szCs w:val="20"/>
        </w:rPr>
        <w:t>Emergent tech</w:t>
      </w:r>
    </w:p>
    <w:p w14:paraId="3684684A" w14:textId="58F7C735" w:rsidR="00BE1782" w:rsidRDefault="00D82CA0" w:rsidP="00F139A4">
      <w:pPr>
        <w:rPr>
          <w:sz w:val="20"/>
          <w:szCs w:val="20"/>
        </w:rPr>
      </w:pPr>
      <w:r w:rsidRPr="00D82CA0">
        <w:rPr>
          <w:sz w:val="20"/>
          <w:szCs w:val="20"/>
        </w:rPr>
        <w:t xml:space="preserve">Tools like </w:t>
      </w:r>
      <w:r w:rsidR="00BC2113">
        <w:rPr>
          <w:sz w:val="20"/>
          <w:szCs w:val="20"/>
        </w:rPr>
        <w:t>Generative Artificial Intelligence</w:t>
      </w:r>
      <w:r w:rsidRPr="00D82CA0">
        <w:rPr>
          <w:sz w:val="20"/>
          <w:szCs w:val="20"/>
        </w:rPr>
        <w:t xml:space="preserve"> could help keep local service directories accurate and up to date</w:t>
      </w:r>
      <w:r w:rsidR="00BC2113">
        <w:rPr>
          <w:sz w:val="20"/>
          <w:szCs w:val="20"/>
        </w:rPr>
        <w:t>, using innovative approaches to streamline approaches and capture useful information. However, t</w:t>
      </w:r>
      <w:r w:rsidRPr="00D82CA0">
        <w:rPr>
          <w:sz w:val="20"/>
          <w:szCs w:val="20"/>
        </w:rPr>
        <w:t xml:space="preserve">ech should </w:t>
      </w:r>
      <w:r w:rsidR="00BC2113">
        <w:rPr>
          <w:sz w:val="20"/>
          <w:szCs w:val="20"/>
        </w:rPr>
        <w:t xml:space="preserve">only </w:t>
      </w:r>
      <w:r w:rsidRPr="00D82CA0">
        <w:rPr>
          <w:sz w:val="20"/>
          <w:szCs w:val="20"/>
        </w:rPr>
        <w:t>support</w:t>
      </w:r>
      <w:r w:rsidR="00BE1782">
        <w:rPr>
          <w:sz w:val="20"/>
          <w:szCs w:val="20"/>
        </w:rPr>
        <w:t xml:space="preserve"> (</w:t>
      </w:r>
      <w:r w:rsidRPr="00D82CA0">
        <w:rPr>
          <w:sz w:val="20"/>
          <w:szCs w:val="20"/>
        </w:rPr>
        <w:t>not replace</w:t>
      </w:r>
      <w:r w:rsidR="00BE1782">
        <w:rPr>
          <w:sz w:val="20"/>
          <w:szCs w:val="20"/>
        </w:rPr>
        <w:t xml:space="preserve">) </w:t>
      </w:r>
      <w:r w:rsidRPr="00D82CA0">
        <w:rPr>
          <w:sz w:val="20"/>
          <w:szCs w:val="20"/>
        </w:rPr>
        <w:t>relationship-based practice.</w:t>
      </w:r>
      <w:r>
        <w:rPr>
          <w:sz w:val="20"/>
          <w:szCs w:val="20"/>
        </w:rPr>
        <w:t xml:space="preserve"> </w:t>
      </w:r>
    </w:p>
    <w:p w14:paraId="618ED582" w14:textId="1FDD357A" w:rsidR="00F139A4" w:rsidRPr="00BE1782" w:rsidRDefault="00BE1782" w:rsidP="00F139A4">
      <w:pPr>
        <w:rPr>
          <w:i/>
          <w:iCs/>
          <w:sz w:val="20"/>
          <w:szCs w:val="20"/>
        </w:rPr>
      </w:pPr>
      <w:r w:rsidRPr="00BE1782">
        <w:rPr>
          <w:i/>
          <w:iCs/>
          <w:sz w:val="20"/>
          <w:szCs w:val="20"/>
        </w:rPr>
        <w:t>Primary Health Networks (PHNs)</w:t>
      </w:r>
    </w:p>
    <w:p w14:paraId="5BA871C1" w14:textId="7B2F7A6C" w:rsidR="00BE1782" w:rsidRDefault="00BE1782" w:rsidP="00F139A4">
      <w:pPr>
        <w:rPr>
          <w:sz w:val="20"/>
          <w:szCs w:val="20"/>
        </w:rPr>
      </w:pPr>
      <w:r w:rsidRPr="00BE1782">
        <w:rPr>
          <w:sz w:val="20"/>
          <w:szCs w:val="20"/>
        </w:rPr>
        <w:t xml:space="preserve">PHNs are already commissioning mental health and wellbeing services and have connections with GPs, allied health, and local providers. Their role in integrating health and social supports makes them a key </w:t>
      </w:r>
      <w:r w:rsidR="00BC2113">
        <w:rPr>
          <w:sz w:val="20"/>
          <w:szCs w:val="20"/>
        </w:rPr>
        <w:t xml:space="preserve">social prescribing </w:t>
      </w:r>
      <w:r w:rsidRPr="00BE1782">
        <w:rPr>
          <w:sz w:val="20"/>
          <w:szCs w:val="20"/>
        </w:rPr>
        <w:t>delivery partner</w:t>
      </w:r>
      <w:r w:rsidR="00027292">
        <w:rPr>
          <w:sz w:val="20"/>
          <w:szCs w:val="20"/>
        </w:rPr>
        <w:t xml:space="preserve"> that could </w:t>
      </w:r>
      <w:r w:rsidRPr="00BE1782">
        <w:rPr>
          <w:sz w:val="20"/>
          <w:szCs w:val="20"/>
        </w:rPr>
        <w:t>help align efforts and avoid duplication.</w:t>
      </w:r>
    </w:p>
    <w:p w14:paraId="01B195F1" w14:textId="30A09980" w:rsidR="00484115" w:rsidRPr="00BE1782" w:rsidRDefault="00484115" w:rsidP="00F139A4">
      <w:pPr>
        <w:rPr>
          <w:i/>
          <w:iCs/>
          <w:sz w:val="20"/>
          <w:szCs w:val="20"/>
        </w:rPr>
      </w:pPr>
      <w:r w:rsidRPr="00BE1782">
        <w:rPr>
          <w:i/>
          <w:iCs/>
          <w:sz w:val="20"/>
          <w:szCs w:val="20"/>
        </w:rPr>
        <w:t>Volunteering</w:t>
      </w:r>
    </w:p>
    <w:p w14:paraId="76CBECA9" w14:textId="37D6E073" w:rsidR="00BE1782" w:rsidRDefault="00BC2113" w:rsidP="00F139A4">
      <w:pPr>
        <w:rPr>
          <w:sz w:val="20"/>
          <w:szCs w:val="20"/>
        </w:rPr>
      </w:pPr>
      <w:r>
        <w:rPr>
          <w:sz w:val="20"/>
          <w:szCs w:val="20"/>
        </w:rPr>
        <w:t>Supported by good practice guidance, v</w:t>
      </w:r>
      <w:r w:rsidR="00BE1782" w:rsidRPr="00BE1782">
        <w:rPr>
          <w:sz w:val="20"/>
          <w:szCs w:val="20"/>
        </w:rPr>
        <w:t>olunteers</w:t>
      </w:r>
      <w:r>
        <w:rPr>
          <w:sz w:val="20"/>
          <w:szCs w:val="20"/>
        </w:rPr>
        <w:t xml:space="preserve"> and volunteer organisations</w:t>
      </w:r>
      <w:r w:rsidR="00BE1782" w:rsidRPr="00BE1782">
        <w:rPr>
          <w:sz w:val="20"/>
          <w:szCs w:val="20"/>
        </w:rPr>
        <w:t xml:space="preserve"> </w:t>
      </w:r>
      <w:r w:rsidR="00CF240D">
        <w:rPr>
          <w:sz w:val="20"/>
          <w:szCs w:val="20"/>
        </w:rPr>
        <w:t>can</w:t>
      </w:r>
      <w:r w:rsidR="00BE1782" w:rsidRPr="00BE1782">
        <w:rPr>
          <w:sz w:val="20"/>
          <w:szCs w:val="20"/>
        </w:rPr>
        <w:t xml:space="preserve"> play a key role in delivering social prescribing at scale</w:t>
      </w:r>
      <w:r w:rsidR="004E3E7F">
        <w:rPr>
          <w:sz w:val="20"/>
          <w:szCs w:val="20"/>
        </w:rPr>
        <w:t xml:space="preserve"> through providing time-limited and targeted support to community members.</w:t>
      </w:r>
      <w:r w:rsidR="00BE1782" w:rsidRPr="00BE1782">
        <w:rPr>
          <w:sz w:val="20"/>
          <w:szCs w:val="20"/>
        </w:rPr>
        <w:t xml:space="preserve"> </w:t>
      </w:r>
    </w:p>
    <w:p w14:paraId="6019C372" w14:textId="77777777" w:rsidR="00F139A4" w:rsidRPr="00C353ED" w:rsidRDefault="00F139A4" w:rsidP="00F139A4">
      <w:pPr>
        <w:spacing w:before="240"/>
        <w:rPr>
          <w:b/>
          <w:bCs/>
          <w:sz w:val="20"/>
          <w:szCs w:val="20"/>
        </w:rPr>
      </w:pPr>
      <w:r>
        <w:rPr>
          <w:b/>
          <w:bCs/>
          <w:sz w:val="20"/>
          <w:szCs w:val="20"/>
        </w:rPr>
        <w:t>Final remarks</w:t>
      </w:r>
    </w:p>
    <w:p w14:paraId="47F4D0BB" w14:textId="26FCB065" w:rsidR="00250BAF" w:rsidRPr="004E3E7F" w:rsidRDefault="00F139A4" w:rsidP="00E654BC">
      <w:pPr>
        <w:rPr>
          <w:sz w:val="20"/>
          <w:szCs w:val="20"/>
        </w:rPr>
      </w:pPr>
      <w:r>
        <w:rPr>
          <w:sz w:val="20"/>
          <w:szCs w:val="20"/>
        </w:rPr>
        <w:t>Overall, a</w:t>
      </w:r>
      <w:r w:rsidRPr="00794D30">
        <w:rPr>
          <w:sz w:val="20"/>
          <w:szCs w:val="20"/>
        </w:rPr>
        <w:t xml:space="preserve"> pilot of social prescribing in Queensland presents a </w:t>
      </w:r>
      <w:r>
        <w:rPr>
          <w:sz w:val="20"/>
          <w:szCs w:val="20"/>
        </w:rPr>
        <w:t>valuable</w:t>
      </w:r>
      <w:r w:rsidRPr="00794D30">
        <w:rPr>
          <w:sz w:val="20"/>
          <w:szCs w:val="20"/>
        </w:rPr>
        <w:t xml:space="preserve"> opportunity to </w:t>
      </w:r>
      <w:r>
        <w:rPr>
          <w:sz w:val="20"/>
          <w:szCs w:val="20"/>
        </w:rPr>
        <w:t>reduce</w:t>
      </w:r>
      <w:r w:rsidRPr="00794D30">
        <w:rPr>
          <w:sz w:val="20"/>
          <w:szCs w:val="20"/>
        </w:rPr>
        <w:t xml:space="preserve"> future service demand and </w:t>
      </w:r>
      <w:r>
        <w:rPr>
          <w:sz w:val="20"/>
          <w:szCs w:val="20"/>
        </w:rPr>
        <w:t>build</w:t>
      </w:r>
      <w:r w:rsidRPr="00794D30">
        <w:rPr>
          <w:sz w:val="20"/>
          <w:szCs w:val="20"/>
        </w:rPr>
        <w:t xml:space="preserve"> capacity and capability </w:t>
      </w:r>
      <w:r>
        <w:rPr>
          <w:sz w:val="20"/>
          <w:szCs w:val="20"/>
        </w:rPr>
        <w:t xml:space="preserve">through </w:t>
      </w:r>
      <w:r w:rsidR="004E3E7F">
        <w:rPr>
          <w:sz w:val="20"/>
          <w:szCs w:val="20"/>
        </w:rPr>
        <w:t>linking</w:t>
      </w:r>
      <w:r w:rsidRPr="00794D30">
        <w:rPr>
          <w:sz w:val="20"/>
          <w:szCs w:val="20"/>
        </w:rPr>
        <w:t xml:space="preserve"> communities, social and primary health</w:t>
      </w:r>
      <w:r w:rsidR="00AD4935" w:rsidRPr="00AD4935">
        <w:rPr>
          <w:sz w:val="20"/>
          <w:szCs w:val="20"/>
        </w:rPr>
        <w:t xml:space="preserve"> </w:t>
      </w:r>
      <w:r w:rsidR="00AD4935" w:rsidRPr="00794D30">
        <w:rPr>
          <w:sz w:val="20"/>
          <w:szCs w:val="20"/>
        </w:rPr>
        <w:t>services</w:t>
      </w:r>
      <w:r>
        <w:rPr>
          <w:sz w:val="20"/>
          <w:szCs w:val="20"/>
        </w:rPr>
        <w:t xml:space="preserve">, supporting better health and wellbeing through a coordinated, place-based approach. </w:t>
      </w:r>
    </w:p>
    <w:sectPr w:rsidR="00250BAF" w:rsidRPr="004E3E7F" w:rsidSect="004E3E7F">
      <w:type w:val="continuous"/>
      <w:pgSz w:w="16820" w:h="11900" w:orient="landscape"/>
      <w:pgMar w:top="1134" w:right="1134" w:bottom="142" w:left="1134" w:header="709" w:footer="22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6C5F8" w14:textId="77777777" w:rsidR="00AC66E2" w:rsidRDefault="00AC66E2" w:rsidP="00E654BC">
      <w:pPr>
        <w:spacing w:after="0"/>
      </w:pPr>
      <w:r>
        <w:separator/>
      </w:r>
    </w:p>
  </w:endnote>
  <w:endnote w:type="continuationSeparator" w:id="0">
    <w:p w14:paraId="19EBC9EF" w14:textId="77777777" w:rsidR="00AC66E2" w:rsidRDefault="00AC66E2" w:rsidP="00E654BC">
      <w:pPr>
        <w:spacing w:after="0"/>
      </w:pPr>
      <w:r>
        <w:continuationSeparator/>
      </w:r>
    </w:p>
  </w:endnote>
  <w:endnote w:id="1">
    <w:p w14:paraId="154A84A7" w14:textId="57FBF76D" w:rsidR="005A1B89" w:rsidRDefault="005A1B89">
      <w:pPr>
        <w:pStyle w:val="EndnoteText"/>
      </w:pPr>
      <w:r>
        <w:rPr>
          <w:rStyle w:val="EndnoteReference"/>
        </w:rPr>
        <w:endnoteRef/>
      </w:r>
      <w:r>
        <w:t xml:space="preserve"> </w:t>
      </w:r>
      <w:r w:rsidRPr="005A1B89">
        <w:rPr>
          <w:sz w:val="12"/>
          <w:szCs w:val="12"/>
        </w:rPr>
        <w:t>https://endingloneliness.com.au/wp-content/uploads/2020/11/Ending-Loneliness-Together-in-Australia_Nov20.pdf</w:t>
      </w:r>
    </w:p>
  </w:endnote>
  <w:endnote w:id="2">
    <w:p w14:paraId="2E34CD1A" w14:textId="69C6B2B7" w:rsidR="005A1B89" w:rsidRDefault="005A1B89">
      <w:pPr>
        <w:pStyle w:val="EndnoteText"/>
      </w:pPr>
      <w:r>
        <w:rPr>
          <w:rStyle w:val="EndnoteReference"/>
        </w:rPr>
        <w:endnoteRef/>
      </w:r>
      <w:r>
        <w:t xml:space="preserve"> </w:t>
      </w:r>
      <w:r w:rsidRPr="005A1B89">
        <w:rPr>
          <w:sz w:val="12"/>
          <w:szCs w:val="12"/>
        </w:rPr>
        <w:t>https://www.racgp.org.au/getmedia/80c8bdc9-8886-4055-8a8d-ea793b088e5a/Health-ofthe-Nation.pdf.aspx</w:t>
      </w:r>
    </w:p>
  </w:endnote>
  <w:endnote w:id="3">
    <w:p w14:paraId="02A96783" w14:textId="57AC0922" w:rsidR="005A1B89" w:rsidRDefault="005A1B89">
      <w:pPr>
        <w:pStyle w:val="EndnoteText"/>
      </w:pPr>
      <w:r>
        <w:rPr>
          <w:rStyle w:val="EndnoteReference"/>
        </w:rPr>
        <w:endnoteRef/>
      </w:r>
      <w:r>
        <w:t xml:space="preserve"> </w:t>
      </w:r>
      <w:r w:rsidRPr="005A1B89">
        <w:rPr>
          <w:sz w:val="12"/>
          <w:szCs w:val="12"/>
        </w:rPr>
        <w:t>https://www.hhs.gov/sites/default/files/surgeon-general-social-connection-advisory.pdf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B53D2" w14:textId="77777777" w:rsidR="004E3E7F" w:rsidRDefault="004E3E7F">
    <w:pPr>
      <w:pStyle w:val="Footer"/>
    </w:pPr>
  </w:p>
  <w:p w14:paraId="52A03C1C" w14:textId="77777777" w:rsidR="004E3E7F" w:rsidRDefault="004E3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67EE" w14:textId="062296D0" w:rsidR="00E654BC" w:rsidRDefault="00E654BC">
    <w:pPr>
      <w:pStyle w:val="Footer"/>
    </w:pPr>
    <w:r>
      <w:rPr>
        <w:noProof/>
      </w:rPr>
      <w:drawing>
        <wp:anchor distT="0" distB="0" distL="114300" distR="114300" simplePos="0" relativeHeight="251660288" behindDoc="1" locked="1" layoutInCell="1" allowOverlap="1" wp14:anchorId="780063A1" wp14:editId="58338EEF">
          <wp:simplePos x="0" y="0"/>
          <wp:positionH relativeFrom="column">
            <wp:posOffset>-720090</wp:posOffset>
          </wp:positionH>
          <wp:positionV relativeFrom="page">
            <wp:posOffset>6490335</wp:posOffset>
          </wp:positionV>
          <wp:extent cx="10691495" cy="1065530"/>
          <wp:effectExtent l="0" t="0" r="1905" b="1270"/>
          <wp:wrapNone/>
          <wp:docPr id="787064909" name="Picture 2" descr="Queensland Government crest in bottom right hand corner of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64909" name="Picture 2" descr="Queensland Government crest in bottom right hand corner of page. "/>
                  <pic:cNvPicPr/>
                </pic:nvPicPr>
                <pic:blipFill>
                  <a:blip r:embed="rId1">
                    <a:extLst>
                      <a:ext uri="{28A0092B-C50C-407E-A947-70E740481C1C}">
                        <a14:useLocalDpi xmlns:a14="http://schemas.microsoft.com/office/drawing/2010/main" val="0"/>
                      </a:ext>
                    </a:extLst>
                  </a:blip>
                  <a:stretch>
                    <a:fillRect/>
                  </a:stretch>
                </pic:blipFill>
                <pic:spPr>
                  <a:xfrm>
                    <a:off x="0" y="0"/>
                    <a:ext cx="10691495"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40821" w14:textId="77777777" w:rsidR="00AC66E2" w:rsidRDefault="00AC66E2" w:rsidP="00E654BC">
      <w:pPr>
        <w:spacing w:after="0"/>
      </w:pPr>
      <w:r>
        <w:separator/>
      </w:r>
    </w:p>
  </w:footnote>
  <w:footnote w:type="continuationSeparator" w:id="0">
    <w:p w14:paraId="55F85A61" w14:textId="77777777" w:rsidR="00AC66E2" w:rsidRDefault="00AC66E2" w:rsidP="00E654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D45C6" w14:textId="2983B88E" w:rsidR="00F91E08" w:rsidRDefault="00F91E08">
    <w:pPr>
      <w:pStyle w:val="Header"/>
    </w:pPr>
    <w:r>
      <w:rPr>
        <w:noProof/>
      </w:rPr>
      <w:drawing>
        <wp:anchor distT="0" distB="0" distL="114300" distR="114300" simplePos="0" relativeHeight="251661312" behindDoc="1" locked="1" layoutInCell="1" allowOverlap="1" wp14:anchorId="3D4BE917" wp14:editId="4CFF4F0D">
          <wp:simplePos x="0" y="0"/>
          <wp:positionH relativeFrom="column">
            <wp:posOffset>-732790</wp:posOffset>
          </wp:positionH>
          <wp:positionV relativeFrom="page">
            <wp:posOffset>2540</wp:posOffset>
          </wp:positionV>
          <wp:extent cx="10691495" cy="777240"/>
          <wp:effectExtent l="0" t="0" r="1905" b="0"/>
          <wp:wrapNone/>
          <wp:docPr id="108875690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56909"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91495"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AF653" w14:textId="01CB43EA" w:rsidR="00E654BC" w:rsidRDefault="00E654BC">
    <w:pPr>
      <w:pStyle w:val="Header"/>
    </w:pPr>
    <w:r>
      <w:rPr>
        <w:noProof/>
      </w:rPr>
      <w:drawing>
        <wp:anchor distT="0" distB="0" distL="114300" distR="114300" simplePos="0" relativeHeight="251659264" behindDoc="1" locked="1" layoutInCell="1" allowOverlap="1" wp14:anchorId="6DF906F3" wp14:editId="186DB1FF">
          <wp:simplePos x="0" y="0"/>
          <wp:positionH relativeFrom="column">
            <wp:posOffset>-714375</wp:posOffset>
          </wp:positionH>
          <wp:positionV relativeFrom="page">
            <wp:posOffset>6350</wp:posOffset>
          </wp:positionV>
          <wp:extent cx="10691495" cy="1281430"/>
          <wp:effectExtent l="0" t="0" r="1905" b="1270"/>
          <wp:wrapNone/>
          <wp:docPr id="132665690" name="Picture 1" descr="Department of Families, Seniors, Disability Services and Child Safety corporate branding. Dark green strip of colour with the department's motif in gr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5690" name="Picture 1" descr="Department of Families, Seniors, Disability Services and Child Safety corporate branding. Dark green strip of colour with the department's motif in grey. "/>
                  <pic:cNvPicPr/>
                </pic:nvPicPr>
                <pic:blipFill>
                  <a:blip r:embed="rId1">
                    <a:extLst>
                      <a:ext uri="{28A0092B-C50C-407E-A947-70E740481C1C}">
                        <a14:useLocalDpi xmlns:a14="http://schemas.microsoft.com/office/drawing/2010/main" val="0"/>
                      </a:ext>
                    </a:extLst>
                  </a:blip>
                  <a:stretch>
                    <a:fillRect/>
                  </a:stretch>
                </pic:blipFill>
                <pic:spPr>
                  <a:xfrm>
                    <a:off x="0" y="0"/>
                    <a:ext cx="10691495" cy="1281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6869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16FDE"/>
    <w:multiLevelType w:val="hybridMultilevel"/>
    <w:tmpl w:val="F3EAE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C01110"/>
    <w:multiLevelType w:val="hybridMultilevel"/>
    <w:tmpl w:val="3252E54C"/>
    <w:lvl w:ilvl="0" w:tplc="8DA203E2">
      <w:start w:val="2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4B7C5B"/>
    <w:multiLevelType w:val="hybridMultilevel"/>
    <w:tmpl w:val="6EF8AEC4"/>
    <w:lvl w:ilvl="0" w:tplc="3086FC2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926D33"/>
    <w:multiLevelType w:val="hybridMultilevel"/>
    <w:tmpl w:val="225A3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E67BF3"/>
    <w:multiLevelType w:val="hybridMultilevel"/>
    <w:tmpl w:val="DC9E4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6D4468"/>
    <w:multiLevelType w:val="hybridMultilevel"/>
    <w:tmpl w:val="9C9E071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1104782">
    <w:abstractNumId w:val="3"/>
  </w:num>
  <w:num w:numId="2" w16cid:durableId="1639648382">
    <w:abstractNumId w:val="0"/>
  </w:num>
  <w:num w:numId="3" w16cid:durableId="2052262157">
    <w:abstractNumId w:val="5"/>
  </w:num>
  <w:num w:numId="4" w16cid:durableId="577062359">
    <w:abstractNumId w:val="1"/>
  </w:num>
  <w:num w:numId="5" w16cid:durableId="1520851578">
    <w:abstractNumId w:val="4"/>
  </w:num>
  <w:num w:numId="6" w16cid:durableId="254482818">
    <w:abstractNumId w:val="2"/>
  </w:num>
  <w:num w:numId="7" w16cid:durableId="2136755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BC"/>
    <w:rsid w:val="00027292"/>
    <w:rsid w:val="00032EAE"/>
    <w:rsid w:val="00037ADB"/>
    <w:rsid w:val="000A6B21"/>
    <w:rsid w:val="00132409"/>
    <w:rsid w:val="00151795"/>
    <w:rsid w:val="0015793D"/>
    <w:rsid w:val="0016142C"/>
    <w:rsid w:val="001C345E"/>
    <w:rsid w:val="00250BAF"/>
    <w:rsid w:val="002A1DEA"/>
    <w:rsid w:val="002B2130"/>
    <w:rsid w:val="00314819"/>
    <w:rsid w:val="003165E6"/>
    <w:rsid w:val="00340D97"/>
    <w:rsid w:val="003F2DBE"/>
    <w:rsid w:val="00484115"/>
    <w:rsid w:val="004E3E7F"/>
    <w:rsid w:val="00533C99"/>
    <w:rsid w:val="00553EDB"/>
    <w:rsid w:val="005A1B89"/>
    <w:rsid w:val="005F5E88"/>
    <w:rsid w:val="00604545"/>
    <w:rsid w:val="0061537D"/>
    <w:rsid w:val="00653BB7"/>
    <w:rsid w:val="006F36CF"/>
    <w:rsid w:val="007110B8"/>
    <w:rsid w:val="00774B74"/>
    <w:rsid w:val="007E5BD2"/>
    <w:rsid w:val="0081285B"/>
    <w:rsid w:val="00916611"/>
    <w:rsid w:val="00960962"/>
    <w:rsid w:val="009A6819"/>
    <w:rsid w:val="009B0A75"/>
    <w:rsid w:val="00A07334"/>
    <w:rsid w:val="00A12AC3"/>
    <w:rsid w:val="00A81AF3"/>
    <w:rsid w:val="00AC66E2"/>
    <w:rsid w:val="00AD4935"/>
    <w:rsid w:val="00AE3BFF"/>
    <w:rsid w:val="00B031F7"/>
    <w:rsid w:val="00B55FEF"/>
    <w:rsid w:val="00BC2113"/>
    <w:rsid w:val="00BE1782"/>
    <w:rsid w:val="00BF125C"/>
    <w:rsid w:val="00C1208B"/>
    <w:rsid w:val="00CD028E"/>
    <w:rsid w:val="00CF240D"/>
    <w:rsid w:val="00D05142"/>
    <w:rsid w:val="00D82CA0"/>
    <w:rsid w:val="00E654BC"/>
    <w:rsid w:val="00F0166D"/>
    <w:rsid w:val="00F139A4"/>
    <w:rsid w:val="00F45163"/>
    <w:rsid w:val="00F55C80"/>
    <w:rsid w:val="00F70EE6"/>
    <w:rsid w:val="00F91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1207D"/>
  <w15:chartTrackingRefBased/>
  <w15:docId w15:val="{2347B495-C939-4903-BA1F-B91F1D59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EDB"/>
    <w:pPr>
      <w:spacing w:after="120"/>
    </w:pPr>
    <w:rPr>
      <w:rFonts w:ascii="Arial" w:eastAsiaTheme="minorEastAsia" w:hAnsi="Arial"/>
      <w:sz w:val="22"/>
    </w:rPr>
  </w:style>
  <w:style w:type="paragraph" w:styleId="Heading1">
    <w:name w:val="heading 1"/>
    <w:basedOn w:val="Normal"/>
    <w:next w:val="Normal"/>
    <w:link w:val="Heading1Char"/>
    <w:uiPriority w:val="9"/>
    <w:qFormat/>
    <w:rsid w:val="00F91E08"/>
    <w:pPr>
      <w:keepNext/>
      <w:keepLines/>
      <w:spacing w:before="240" w:after="240"/>
      <w:outlineLvl w:val="0"/>
    </w:pPr>
    <w:rPr>
      <w:rFonts w:eastAsiaTheme="majorEastAsia" w:cstheme="majorBidi"/>
      <w:b/>
      <w:color w:val="DD4539"/>
      <w:sz w:val="48"/>
      <w:szCs w:val="40"/>
    </w:rPr>
  </w:style>
  <w:style w:type="paragraph" w:styleId="Heading2">
    <w:name w:val="heading 2"/>
    <w:basedOn w:val="Normal"/>
    <w:next w:val="Normal"/>
    <w:link w:val="Heading2Char"/>
    <w:uiPriority w:val="9"/>
    <w:unhideWhenUsed/>
    <w:qFormat/>
    <w:rsid w:val="00F91E08"/>
    <w:pPr>
      <w:keepNext/>
      <w:keepLines/>
      <w:spacing w:before="120"/>
      <w:outlineLvl w:val="1"/>
    </w:pPr>
    <w:rPr>
      <w:rFonts w:eastAsiaTheme="majorEastAsia" w:cstheme="majorBidi"/>
      <w:b/>
      <w:color w:val="26555C"/>
      <w:sz w:val="32"/>
      <w:szCs w:val="32"/>
    </w:rPr>
  </w:style>
  <w:style w:type="paragraph" w:styleId="Heading3">
    <w:name w:val="heading 3"/>
    <w:basedOn w:val="Normal"/>
    <w:next w:val="Normal"/>
    <w:link w:val="Heading3Char"/>
    <w:uiPriority w:val="9"/>
    <w:unhideWhenUsed/>
    <w:qFormat/>
    <w:rsid w:val="00F91E08"/>
    <w:pPr>
      <w:keepNext/>
      <w:keepLines/>
      <w:spacing w:before="120"/>
      <w:outlineLvl w:val="2"/>
    </w:pPr>
    <w:rPr>
      <w:rFonts w:eastAsiaTheme="majorEastAsia" w:cstheme="majorBidi"/>
      <w:b/>
      <w:color w:val="000000" w:themeColor="text1"/>
      <w:sz w:val="28"/>
      <w:szCs w:val="28"/>
    </w:rPr>
  </w:style>
  <w:style w:type="paragraph" w:styleId="Heading4">
    <w:name w:val="heading 4"/>
    <w:basedOn w:val="Normal"/>
    <w:next w:val="Normal"/>
    <w:link w:val="Heading4Char"/>
    <w:uiPriority w:val="9"/>
    <w:unhideWhenUsed/>
    <w:qFormat/>
    <w:rsid w:val="00553EDB"/>
    <w:pPr>
      <w:keepNext/>
      <w:keepLines/>
      <w:spacing w:before="80" w:after="40"/>
      <w:outlineLvl w:val="3"/>
    </w:pPr>
    <w:rPr>
      <w:rFonts w:eastAsiaTheme="majorEastAsia" w:cstheme="majorBidi"/>
      <w:iCs/>
      <w:color w:val="26555C"/>
      <w:sz w:val="24"/>
    </w:rPr>
  </w:style>
  <w:style w:type="paragraph" w:styleId="Heading5">
    <w:name w:val="heading 5"/>
    <w:basedOn w:val="Normal"/>
    <w:next w:val="Normal"/>
    <w:link w:val="Heading5Char"/>
    <w:uiPriority w:val="9"/>
    <w:unhideWhenUsed/>
    <w:qFormat/>
    <w:rsid w:val="00553EDB"/>
    <w:pPr>
      <w:keepNext/>
      <w:keepLines/>
      <w:spacing w:after="0"/>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E654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4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4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4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E08"/>
    <w:rPr>
      <w:rFonts w:ascii="Arial" w:eastAsiaTheme="majorEastAsia" w:hAnsi="Arial" w:cstheme="majorBidi"/>
      <w:b/>
      <w:color w:val="DD4539"/>
      <w:sz w:val="48"/>
      <w:szCs w:val="40"/>
    </w:rPr>
  </w:style>
  <w:style w:type="character" w:customStyle="1" w:styleId="Heading2Char">
    <w:name w:val="Heading 2 Char"/>
    <w:basedOn w:val="DefaultParagraphFont"/>
    <w:link w:val="Heading2"/>
    <w:uiPriority w:val="9"/>
    <w:rsid w:val="00F91E08"/>
    <w:rPr>
      <w:rFonts w:ascii="Arial" w:eastAsiaTheme="majorEastAsia" w:hAnsi="Arial" w:cstheme="majorBidi"/>
      <w:b/>
      <w:color w:val="26555C"/>
      <w:sz w:val="32"/>
      <w:szCs w:val="32"/>
    </w:rPr>
  </w:style>
  <w:style w:type="character" w:customStyle="1" w:styleId="Heading3Char">
    <w:name w:val="Heading 3 Char"/>
    <w:basedOn w:val="DefaultParagraphFont"/>
    <w:link w:val="Heading3"/>
    <w:uiPriority w:val="9"/>
    <w:rsid w:val="00F91E08"/>
    <w:rPr>
      <w:rFonts w:ascii="Arial" w:eastAsiaTheme="majorEastAsia" w:hAnsi="Arial" w:cstheme="majorBidi"/>
      <w:b/>
      <w:color w:val="000000" w:themeColor="text1"/>
      <w:sz w:val="28"/>
      <w:szCs w:val="28"/>
    </w:rPr>
  </w:style>
  <w:style w:type="character" w:customStyle="1" w:styleId="Heading4Char">
    <w:name w:val="Heading 4 Char"/>
    <w:basedOn w:val="DefaultParagraphFont"/>
    <w:link w:val="Heading4"/>
    <w:uiPriority w:val="9"/>
    <w:rsid w:val="00553EDB"/>
    <w:rPr>
      <w:rFonts w:ascii="Arial" w:eastAsiaTheme="majorEastAsia" w:hAnsi="Arial" w:cstheme="majorBidi"/>
      <w:iCs/>
      <w:color w:val="26555C"/>
    </w:rPr>
  </w:style>
  <w:style w:type="character" w:customStyle="1" w:styleId="Heading5Char">
    <w:name w:val="Heading 5 Char"/>
    <w:basedOn w:val="DefaultParagraphFont"/>
    <w:link w:val="Heading5"/>
    <w:uiPriority w:val="9"/>
    <w:rsid w:val="00553EDB"/>
    <w:rPr>
      <w:rFonts w:ascii="Arial" w:eastAsiaTheme="majorEastAsia" w:hAnsi="Arial" w:cstheme="majorBidi"/>
      <w:b/>
      <w:color w:val="000000" w:themeColor="text1"/>
      <w:sz w:val="22"/>
    </w:rPr>
  </w:style>
  <w:style w:type="character" w:customStyle="1" w:styleId="Heading6Char">
    <w:name w:val="Heading 6 Char"/>
    <w:basedOn w:val="DefaultParagraphFont"/>
    <w:link w:val="Heading6"/>
    <w:uiPriority w:val="9"/>
    <w:semiHidden/>
    <w:rsid w:val="00E654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4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4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4BC"/>
    <w:rPr>
      <w:rFonts w:eastAsiaTheme="majorEastAsia" w:cstheme="majorBidi"/>
      <w:color w:val="272727" w:themeColor="text1" w:themeTint="D8"/>
    </w:rPr>
  </w:style>
  <w:style w:type="paragraph" w:styleId="Title">
    <w:name w:val="Title"/>
    <w:basedOn w:val="Normal"/>
    <w:next w:val="Normal"/>
    <w:link w:val="TitleChar"/>
    <w:uiPriority w:val="10"/>
    <w:qFormat/>
    <w:rsid w:val="00E654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4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4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4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4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54BC"/>
    <w:rPr>
      <w:i/>
      <w:iCs/>
      <w:color w:val="404040" w:themeColor="text1" w:themeTint="BF"/>
    </w:rPr>
  </w:style>
  <w:style w:type="paragraph" w:styleId="ListParagraph">
    <w:name w:val="List Paragraph"/>
    <w:basedOn w:val="Normal"/>
    <w:uiPriority w:val="34"/>
    <w:qFormat/>
    <w:rsid w:val="00E654BC"/>
    <w:pPr>
      <w:ind w:left="720"/>
      <w:contextualSpacing/>
    </w:pPr>
  </w:style>
  <w:style w:type="character" w:styleId="IntenseEmphasis">
    <w:name w:val="Intense Emphasis"/>
    <w:basedOn w:val="DefaultParagraphFont"/>
    <w:uiPriority w:val="21"/>
    <w:qFormat/>
    <w:rsid w:val="00E654BC"/>
    <w:rPr>
      <w:i/>
      <w:iCs/>
      <w:color w:val="2F5496" w:themeColor="accent1" w:themeShade="BF"/>
    </w:rPr>
  </w:style>
  <w:style w:type="paragraph" w:styleId="IntenseQuote">
    <w:name w:val="Intense Quote"/>
    <w:basedOn w:val="Normal"/>
    <w:next w:val="Normal"/>
    <w:link w:val="IntenseQuoteChar"/>
    <w:uiPriority w:val="30"/>
    <w:qFormat/>
    <w:rsid w:val="00E65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54BC"/>
    <w:rPr>
      <w:i/>
      <w:iCs/>
      <w:color w:val="2F5496" w:themeColor="accent1" w:themeShade="BF"/>
    </w:rPr>
  </w:style>
  <w:style w:type="character" w:styleId="IntenseReference">
    <w:name w:val="Intense Reference"/>
    <w:basedOn w:val="DefaultParagraphFont"/>
    <w:uiPriority w:val="32"/>
    <w:qFormat/>
    <w:rsid w:val="00E654BC"/>
    <w:rPr>
      <w:b/>
      <w:bCs/>
      <w:smallCaps/>
      <w:color w:val="2F5496" w:themeColor="accent1" w:themeShade="BF"/>
      <w:spacing w:val="5"/>
    </w:rPr>
  </w:style>
  <w:style w:type="paragraph" w:styleId="Header">
    <w:name w:val="header"/>
    <w:basedOn w:val="Normal"/>
    <w:link w:val="HeaderChar"/>
    <w:uiPriority w:val="99"/>
    <w:unhideWhenUsed/>
    <w:rsid w:val="00E654BC"/>
    <w:pPr>
      <w:tabs>
        <w:tab w:val="center" w:pos="4513"/>
        <w:tab w:val="right" w:pos="9026"/>
      </w:tabs>
    </w:pPr>
  </w:style>
  <w:style w:type="character" w:customStyle="1" w:styleId="HeaderChar">
    <w:name w:val="Header Char"/>
    <w:basedOn w:val="DefaultParagraphFont"/>
    <w:link w:val="Header"/>
    <w:uiPriority w:val="99"/>
    <w:rsid w:val="00E654BC"/>
    <w:rPr>
      <w:rFonts w:eastAsiaTheme="minorEastAsia"/>
    </w:rPr>
  </w:style>
  <w:style w:type="paragraph" w:styleId="Footer">
    <w:name w:val="footer"/>
    <w:basedOn w:val="Normal"/>
    <w:link w:val="FooterChar"/>
    <w:uiPriority w:val="99"/>
    <w:unhideWhenUsed/>
    <w:rsid w:val="00E654BC"/>
    <w:pPr>
      <w:tabs>
        <w:tab w:val="center" w:pos="4513"/>
        <w:tab w:val="right" w:pos="9026"/>
      </w:tabs>
    </w:pPr>
  </w:style>
  <w:style w:type="character" w:customStyle="1" w:styleId="FooterChar">
    <w:name w:val="Footer Char"/>
    <w:basedOn w:val="DefaultParagraphFont"/>
    <w:link w:val="Footer"/>
    <w:uiPriority w:val="99"/>
    <w:rsid w:val="00E654BC"/>
    <w:rPr>
      <w:rFonts w:eastAsiaTheme="minorEastAsia"/>
    </w:rPr>
  </w:style>
  <w:style w:type="paragraph" w:styleId="ListBullet">
    <w:name w:val="List Bullet"/>
    <w:basedOn w:val="Normal"/>
    <w:uiPriority w:val="99"/>
    <w:unhideWhenUsed/>
    <w:rsid w:val="00553EDB"/>
    <w:pPr>
      <w:numPr>
        <w:numId w:val="2"/>
      </w:numPr>
      <w:ind w:left="357" w:hanging="357"/>
      <w:contextualSpacing/>
    </w:pPr>
  </w:style>
  <w:style w:type="character" w:styleId="Hyperlink">
    <w:name w:val="Hyperlink"/>
    <w:basedOn w:val="DefaultParagraphFont"/>
    <w:rsid w:val="00F139A4"/>
    <w:rPr>
      <w:rFonts w:ascii="Arial" w:hAnsi="Arial"/>
      <w:color w:val="0563C1" w:themeColor="hyperlink"/>
      <w:u w:val="single"/>
    </w:rPr>
  </w:style>
  <w:style w:type="character" w:styleId="CommentReference">
    <w:name w:val="annotation reference"/>
    <w:basedOn w:val="DefaultParagraphFont"/>
    <w:rsid w:val="00F139A4"/>
    <w:rPr>
      <w:sz w:val="16"/>
      <w:szCs w:val="16"/>
    </w:rPr>
  </w:style>
  <w:style w:type="paragraph" w:styleId="CommentText">
    <w:name w:val="annotation text"/>
    <w:basedOn w:val="Normal"/>
    <w:link w:val="CommentTextChar"/>
    <w:rsid w:val="00F139A4"/>
    <w:rPr>
      <w:rFonts w:eastAsia="Times New Roman" w:cs="Times New Roman"/>
      <w:kern w:val="0"/>
      <w:sz w:val="20"/>
      <w:szCs w:val="20"/>
      <w:lang w:eastAsia="en-AU"/>
      <w14:ligatures w14:val="none"/>
    </w:rPr>
  </w:style>
  <w:style w:type="character" w:customStyle="1" w:styleId="CommentTextChar">
    <w:name w:val="Comment Text Char"/>
    <w:basedOn w:val="DefaultParagraphFont"/>
    <w:link w:val="CommentText"/>
    <w:rsid w:val="00F139A4"/>
    <w:rPr>
      <w:rFonts w:ascii="Arial" w:eastAsia="Times New Roman" w:hAnsi="Arial" w:cs="Times New Roman"/>
      <w:kern w:val="0"/>
      <w:sz w:val="20"/>
      <w:szCs w:val="20"/>
      <w:lang w:eastAsia="en-AU"/>
      <w14:ligatures w14:val="none"/>
    </w:rPr>
  </w:style>
  <w:style w:type="paragraph" w:styleId="FootnoteText">
    <w:name w:val="footnote text"/>
    <w:basedOn w:val="Normal"/>
    <w:link w:val="FootnoteTextChar"/>
    <w:uiPriority w:val="99"/>
    <w:semiHidden/>
    <w:unhideWhenUsed/>
    <w:rsid w:val="005A1B89"/>
    <w:pPr>
      <w:spacing w:after="0"/>
    </w:pPr>
    <w:rPr>
      <w:sz w:val="20"/>
      <w:szCs w:val="20"/>
    </w:rPr>
  </w:style>
  <w:style w:type="character" w:customStyle="1" w:styleId="FootnoteTextChar">
    <w:name w:val="Footnote Text Char"/>
    <w:basedOn w:val="DefaultParagraphFont"/>
    <w:link w:val="FootnoteText"/>
    <w:uiPriority w:val="99"/>
    <w:semiHidden/>
    <w:rsid w:val="005A1B89"/>
    <w:rPr>
      <w:rFonts w:ascii="Arial" w:eastAsiaTheme="minorEastAsia" w:hAnsi="Arial"/>
      <w:sz w:val="20"/>
      <w:szCs w:val="20"/>
    </w:rPr>
  </w:style>
  <w:style w:type="character" w:styleId="FootnoteReference">
    <w:name w:val="footnote reference"/>
    <w:basedOn w:val="DefaultParagraphFont"/>
    <w:uiPriority w:val="99"/>
    <w:semiHidden/>
    <w:unhideWhenUsed/>
    <w:rsid w:val="005A1B89"/>
    <w:rPr>
      <w:vertAlign w:val="superscript"/>
    </w:rPr>
  </w:style>
  <w:style w:type="character" w:styleId="UnresolvedMention">
    <w:name w:val="Unresolved Mention"/>
    <w:basedOn w:val="DefaultParagraphFont"/>
    <w:uiPriority w:val="99"/>
    <w:semiHidden/>
    <w:unhideWhenUsed/>
    <w:rsid w:val="005A1B89"/>
    <w:rPr>
      <w:color w:val="605E5C"/>
      <w:shd w:val="clear" w:color="auto" w:fill="E1DFDD"/>
    </w:rPr>
  </w:style>
  <w:style w:type="paragraph" w:styleId="EndnoteText">
    <w:name w:val="endnote text"/>
    <w:basedOn w:val="Normal"/>
    <w:link w:val="EndnoteTextChar"/>
    <w:uiPriority w:val="99"/>
    <w:semiHidden/>
    <w:unhideWhenUsed/>
    <w:rsid w:val="005A1B89"/>
    <w:pPr>
      <w:spacing w:after="0"/>
    </w:pPr>
    <w:rPr>
      <w:sz w:val="20"/>
      <w:szCs w:val="20"/>
    </w:rPr>
  </w:style>
  <w:style w:type="character" w:customStyle="1" w:styleId="EndnoteTextChar">
    <w:name w:val="Endnote Text Char"/>
    <w:basedOn w:val="DefaultParagraphFont"/>
    <w:link w:val="EndnoteText"/>
    <w:uiPriority w:val="99"/>
    <w:semiHidden/>
    <w:rsid w:val="005A1B89"/>
    <w:rPr>
      <w:rFonts w:ascii="Arial" w:eastAsiaTheme="minorEastAsia" w:hAnsi="Arial"/>
      <w:sz w:val="20"/>
      <w:szCs w:val="20"/>
    </w:rPr>
  </w:style>
  <w:style w:type="character" w:styleId="EndnoteReference">
    <w:name w:val="endnote reference"/>
    <w:basedOn w:val="DefaultParagraphFont"/>
    <w:uiPriority w:val="99"/>
    <w:semiHidden/>
    <w:unhideWhenUsed/>
    <w:rsid w:val="005A1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01571">
      <w:bodyDiv w:val="1"/>
      <w:marLeft w:val="0"/>
      <w:marRight w:val="0"/>
      <w:marTop w:val="0"/>
      <w:marBottom w:val="0"/>
      <w:divBdr>
        <w:top w:val="none" w:sz="0" w:space="0" w:color="auto"/>
        <w:left w:val="none" w:sz="0" w:space="0" w:color="auto"/>
        <w:bottom w:val="none" w:sz="0" w:space="0" w:color="auto"/>
        <w:right w:val="none" w:sz="0" w:space="0" w:color="auto"/>
      </w:divBdr>
    </w:div>
    <w:div w:id="939600524">
      <w:bodyDiv w:val="1"/>
      <w:marLeft w:val="0"/>
      <w:marRight w:val="0"/>
      <w:marTop w:val="0"/>
      <w:marBottom w:val="0"/>
      <w:divBdr>
        <w:top w:val="none" w:sz="0" w:space="0" w:color="auto"/>
        <w:left w:val="none" w:sz="0" w:space="0" w:color="auto"/>
        <w:bottom w:val="none" w:sz="0" w:space="0" w:color="auto"/>
        <w:right w:val="none" w:sz="0" w:space="0" w:color="auto"/>
      </w:divBdr>
    </w:div>
    <w:div w:id="1334066081">
      <w:bodyDiv w:val="1"/>
      <w:marLeft w:val="0"/>
      <w:marRight w:val="0"/>
      <w:marTop w:val="0"/>
      <w:marBottom w:val="0"/>
      <w:divBdr>
        <w:top w:val="none" w:sz="0" w:space="0" w:color="auto"/>
        <w:left w:val="none" w:sz="0" w:space="0" w:color="auto"/>
        <w:bottom w:val="none" w:sz="0" w:space="0" w:color="auto"/>
        <w:right w:val="none" w:sz="0" w:space="0" w:color="auto"/>
      </w:divBdr>
    </w:div>
    <w:div w:id="1468859042">
      <w:bodyDiv w:val="1"/>
      <w:marLeft w:val="0"/>
      <w:marRight w:val="0"/>
      <w:marTop w:val="0"/>
      <w:marBottom w:val="0"/>
      <w:divBdr>
        <w:top w:val="none" w:sz="0" w:space="0" w:color="auto"/>
        <w:left w:val="none" w:sz="0" w:space="0" w:color="auto"/>
        <w:bottom w:val="none" w:sz="0" w:space="0" w:color="auto"/>
        <w:right w:val="none" w:sz="0" w:space="0" w:color="auto"/>
      </w:divBdr>
    </w:div>
    <w:div w:id="1811435710">
      <w:bodyDiv w:val="1"/>
      <w:marLeft w:val="0"/>
      <w:marRight w:val="0"/>
      <w:marTop w:val="0"/>
      <w:marBottom w:val="0"/>
      <w:divBdr>
        <w:top w:val="none" w:sz="0" w:space="0" w:color="auto"/>
        <w:left w:val="none" w:sz="0" w:space="0" w:color="auto"/>
        <w:bottom w:val="none" w:sz="0" w:space="0" w:color="auto"/>
        <w:right w:val="none" w:sz="0" w:space="0" w:color="auto"/>
      </w:divBdr>
    </w:div>
    <w:div w:id="18441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rliament.qld.gov.au/Work-of-Committees/Inquiries/Inquiry-Details?id=2866"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1310</Words>
  <Characters>7469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Queensland Social Prescribing Feasibility Study: Key findings</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Social Prescribing Feasibility Study: Key findings</dc:title>
  <dc:subject>Community support and services</dc:subject>
  <dc:creator>Queensland Government</dc:creator>
  <cp:keywords>Queensland; Social; Prescribing; Feasibility; Study; Key; findings</cp:keywords>
  <dc:description/>
  <cp:lastModifiedBy>Tanya z Campbell</cp:lastModifiedBy>
  <cp:revision>2</cp:revision>
  <dcterms:created xsi:type="dcterms:W3CDTF">2025-07-30T23:59:00Z</dcterms:created>
  <dcterms:modified xsi:type="dcterms:W3CDTF">2025-07-30T23:59:00Z</dcterms:modified>
  <cp:category/>
</cp:coreProperties>
</file>