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01067" w14:textId="77777777" w:rsidR="00156664" w:rsidRDefault="00156664" w:rsidP="0041018F">
      <w:pPr>
        <w:pStyle w:val="Heading1"/>
        <w:jc w:val="both"/>
        <w:rPr>
          <w:szCs w:val="48"/>
        </w:rPr>
      </w:pPr>
      <w:bookmarkStart w:id="0" w:name="_Hlk191383953"/>
    </w:p>
    <w:p w14:paraId="26BF8E2B" w14:textId="402F2876" w:rsidR="00B635E1" w:rsidRDefault="00317354" w:rsidP="0041018F">
      <w:pPr>
        <w:pStyle w:val="Heading1"/>
        <w:jc w:val="both"/>
        <w:rPr>
          <w:szCs w:val="48"/>
        </w:rPr>
      </w:pPr>
      <w:r>
        <w:rPr>
          <w:szCs w:val="48"/>
        </w:rPr>
        <w:t>$1500 boost for e</w:t>
      </w:r>
      <w:r w:rsidR="00B635E1" w:rsidRPr="009834C2">
        <w:rPr>
          <w:szCs w:val="48"/>
        </w:rPr>
        <w:t>xtracurricular activities</w:t>
      </w:r>
    </w:p>
    <w:bookmarkEnd w:id="0"/>
    <w:p w14:paraId="7D1BD114" w14:textId="030F07CB" w:rsidR="00F344D3" w:rsidRPr="00F344D3" w:rsidRDefault="009834C2" w:rsidP="0041018F">
      <w:pPr>
        <w:jc w:val="both"/>
        <w:rPr>
          <w:rFonts w:cs="Arial"/>
          <w:b/>
          <w:bCs/>
          <w:kern w:val="32"/>
          <w:sz w:val="40"/>
          <w:szCs w:val="40"/>
        </w:rPr>
      </w:pPr>
      <w:r w:rsidRPr="009834C2">
        <w:rPr>
          <w:rFonts w:cs="Arial"/>
          <w:b/>
          <w:bCs/>
          <w:kern w:val="32"/>
          <w:sz w:val="40"/>
          <w:szCs w:val="40"/>
        </w:rPr>
        <w:t>Frequently Asked Questions</w:t>
      </w:r>
      <w:r w:rsidR="00F344D3" w:rsidRPr="00F344D3">
        <w:rPr>
          <w:rFonts w:cs="Arial"/>
          <w:b/>
          <w:bCs/>
          <w:kern w:val="32"/>
          <w:sz w:val="40"/>
          <w:szCs w:val="40"/>
        </w:rPr>
        <w:t xml:space="preserve"> for Child Safety Staff</w:t>
      </w:r>
    </w:p>
    <w:p w14:paraId="638D2D90" w14:textId="77777777" w:rsidR="00492E4D" w:rsidRDefault="00492E4D" w:rsidP="0041018F">
      <w:pPr>
        <w:jc w:val="both"/>
      </w:pPr>
    </w:p>
    <w:p w14:paraId="1DBDC91C" w14:textId="017BA71C" w:rsidR="00B635E1" w:rsidRPr="00467BCA" w:rsidRDefault="00492E4D" w:rsidP="0041018F">
      <w:pPr>
        <w:pStyle w:val="Heading4"/>
        <w:jc w:val="both"/>
        <w:rPr>
          <w:b/>
          <w:bCs/>
        </w:rPr>
      </w:pPr>
      <w:r>
        <w:rPr>
          <w:b/>
          <w:bCs/>
        </w:rPr>
        <w:t xml:space="preserve">What is the </w:t>
      </w:r>
      <w:r w:rsidR="00992B04" w:rsidRPr="00467BCA">
        <w:rPr>
          <w:b/>
          <w:bCs/>
        </w:rPr>
        <w:t>$1500 funding boost</w:t>
      </w:r>
      <w:r>
        <w:rPr>
          <w:b/>
          <w:bCs/>
        </w:rPr>
        <w:t>?</w:t>
      </w:r>
    </w:p>
    <w:p w14:paraId="6D5D2D5E" w14:textId="4CF12EA9" w:rsidR="00CE227C" w:rsidRDefault="00CE227C" w:rsidP="0041018F">
      <w:pPr>
        <w:jc w:val="both"/>
        <w:rPr>
          <w:rFonts w:cs="Arial"/>
        </w:rPr>
      </w:pPr>
      <w:bookmarkStart w:id="1" w:name="_Hlk191384452"/>
      <w:r w:rsidRPr="00141569">
        <w:rPr>
          <w:rFonts w:cs="Arial"/>
        </w:rPr>
        <w:t>The Queensland Government is increasing the yearly allowance for each child and young person living in a care arrangement by $1500, to fund extracurricular activities</w:t>
      </w:r>
      <w:r>
        <w:rPr>
          <w:rFonts w:cs="Arial"/>
        </w:rPr>
        <w:t>.</w:t>
      </w:r>
      <w:r w:rsidRPr="00141569">
        <w:rPr>
          <w:rFonts w:cs="Arial"/>
        </w:rPr>
        <w:t xml:space="preserve"> </w:t>
      </w:r>
    </w:p>
    <w:p w14:paraId="19DF9956" w14:textId="2D2E88FB" w:rsidR="00303143" w:rsidRPr="00303143" w:rsidRDefault="00303143" w:rsidP="0041018F">
      <w:pPr>
        <w:jc w:val="both"/>
        <w:rPr>
          <w:rFonts w:cs="Arial"/>
        </w:rPr>
      </w:pPr>
      <w:bookmarkStart w:id="2" w:name="_Hlk191386222"/>
      <w:r>
        <w:rPr>
          <w:rFonts w:cs="Arial"/>
        </w:rPr>
        <w:t xml:space="preserve">This boost will </w:t>
      </w:r>
      <w:r w:rsidRPr="00303143">
        <w:rPr>
          <w:rFonts w:cs="Arial"/>
        </w:rPr>
        <w:t xml:space="preserve">complement other </w:t>
      </w:r>
      <w:r w:rsidRPr="00141569">
        <w:rPr>
          <w:rFonts w:cs="Arial"/>
        </w:rPr>
        <w:t xml:space="preserve">Queensland Government </w:t>
      </w:r>
      <w:r w:rsidRPr="00303143">
        <w:rPr>
          <w:rFonts w:cs="Arial"/>
        </w:rPr>
        <w:t>programs available to c</w:t>
      </w:r>
      <w:r w:rsidR="00FB43B5">
        <w:rPr>
          <w:rFonts w:cs="Arial"/>
        </w:rPr>
        <w:t xml:space="preserve">hildren </w:t>
      </w:r>
      <w:r w:rsidR="002A4C11">
        <w:rPr>
          <w:rFonts w:cs="Arial"/>
        </w:rPr>
        <w:t xml:space="preserve">and young people </w:t>
      </w:r>
      <w:r w:rsidR="00FB43B5">
        <w:rPr>
          <w:rFonts w:cs="Arial"/>
        </w:rPr>
        <w:t>in care</w:t>
      </w:r>
      <w:r w:rsidRPr="00303143">
        <w:rPr>
          <w:rFonts w:cs="Arial"/>
        </w:rPr>
        <w:t>, such as Play</w:t>
      </w:r>
      <w:r w:rsidR="00A71DA8">
        <w:rPr>
          <w:rFonts w:cs="Arial"/>
        </w:rPr>
        <w:t xml:space="preserve"> on</w:t>
      </w:r>
      <w:r w:rsidRPr="00303143">
        <w:rPr>
          <w:rFonts w:cs="Arial"/>
        </w:rPr>
        <w:t xml:space="preserve"> vouchers</w:t>
      </w:r>
      <w:bookmarkEnd w:id="2"/>
      <w:r w:rsidR="00B81527">
        <w:rPr>
          <w:rFonts w:cs="Arial"/>
        </w:rPr>
        <w:t>.</w:t>
      </w:r>
      <w:r w:rsidR="00AF7B4B">
        <w:rPr>
          <w:rFonts w:cs="Arial"/>
        </w:rPr>
        <w:t xml:space="preserve"> </w:t>
      </w:r>
      <w:bookmarkEnd w:id="1"/>
      <w:r w:rsidR="00AF7B4B">
        <w:rPr>
          <w:rFonts w:cs="Arial"/>
        </w:rPr>
        <w:t xml:space="preserve">Accessing </w:t>
      </w:r>
      <w:r w:rsidR="008A688F">
        <w:rPr>
          <w:rFonts w:cs="Arial"/>
        </w:rPr>
        <w:t xml:space="preserve">other universal supports will not impact the child </w:t>
      </w:r>
      <w:r w:rsidR="00B81527">
        <w:rPr>
          <w:rFonts w:cs="Arial"/>
        </w:rPr>
        <w:t xml:space="preserve">or young person’s </w:t>
      </w:r>
      <w:r w:rsidR="008A688F">
        <w:rPr>
          <w:rFonts w:cs="Arial"/>
        </w:rPr>
        <w:t>eligibility for the $1500 f</w:t>
      </w:r>
      <w:r w:rsidR="00AF7B4B">
        <w:rPr>
          <w:rFonts w:cs="Arial"/>
        </w:rPr>
        <w:t xml:space="preserve">unding boost. </w:t>
      </w:r>
    </w:p>
    <w:p w14:paraId="6D8ABFBE" w14:textId="77777777" w:rsidR="00CE227C" w:rsidRDefault="00CE227C" w:rsidP="0041018F">
      <w:pPr>
        <w:jc w:val="both"/>
        <w:rPr>
          <w:rFonts w:cs="Arial"/>
        </w:rPr>
      </w:pPr>
    </w:p>
    <w:p w14:paraId="675D4C5C" w14:textId="77777777" w:rsidR="00492E4D" w:rsidRDefault="00492E4D" w:rsidP="0041018F">
      <w:pPr>
        <w:jc w:val="both"/>
        <w:rPr>
          <w:b/>
          <w:bCs/>
          <w:color w:val="26555C"/>
          <w:sz w:val="24"/>
          <w:szCs w:val="28"/>
        </w:rPr>
      </w:pPr>
      <w:r>
        <w:rPr>
          <w:b/>
          <w:bCs/>
          <w:color w:val="26555C"/>
          <w:sz w:val="24"/>
          <w:szCs w:val="28"/>
        </w:rPr>
        <w:t>When does it commence?</w:t>
      </w:r>
    </w:p>
    <w:p w14:paraId="2957D0B7" w14:textId="3F8AC8DE" w:rsidR="00492E4D" w:rsidRDefault="00492E4D" w:rsidP="0041018F">
      <w:pPr>
        <w:jc w:val="both"/>
      </w:pPr>
      <w:r>
        <w:t>From 1 July 2025.</w:t>
      </w:r>
    </w:p>
    <w:p w14:paraId="64977F38" w14:textId="77777777" w:rsidR="00492E4D" w:rsidRDefault="00492E4D" w:rsidP="0041018F">
      <w:pPr>
        <w:jc w:val="both"/>
        <w:rPr>
          <w:b/>
          <w:bCs/>
          <w:color w:val="26555C"/>
          <w:sz w:val="24"/>
          <w:szCs w:val="28"/>
        </w:rPr>
      </w:pPr>
    </w:p>
    <w:p w14:paraId="440BC04B" w14:textId="01475A17" w:rsidR="00492E4D" w:rsidRPr="00492E4D" w:rsidRDefault="00492E4D" w:rsidP="0041018F">
      <w:pPr>
        <w:jc w:val="both"/>
        <w:rPr>
          <w:b/>
          <w:bCs/>
          <w:color w:val="26555C"/>
          <w:sz w:val="24"/>
          <w:szCs w:val="28"/>
        </w:rPr>
      </w:pPr>
      <w:r w:rsidRPr="00492E4D">
        <w:rPr>
          <w:b/>
          <w:bCs/>
          <w:color w:val="26555C"/>
          <w:sz w:val="24"/>
          <w:szCs w:val="28"/>
        </w:rPr>
        <w:t>Who is eligible?</w:t>
      </w:r>
    </w:p>
    <w:p w14:paraId="5C576D14" w14:textId="2FCE4B07" w:rsidR="00492E4D" w:rsidRDefault="00492E4D" w:rsidP="0041018F">
      <w:pPr>
        <w:jc w:val="both"/>
      </w:pPr>
      <w:r>
        <w:t>E</w:t>
      </w:r>
      <w:r w:rsidR="00A04E62">
        <w:t xml:space="preserve">very child and young person </w:t>
      </w:r>
      <w:r w:rsidR="00FB43B5">
        <w:t xml:space="preserve">under </w:t>
      </w:r>
      <w:r w:rsidR="00A04E62">
        <w:t xml:space="preserve">18 years who is living in </w:t>
      </w:r>
      <w:r w:rsidR="0095485B">
        <w:t>a care arrangement</w:t>
      </w:r>
      <w:r w:rsidR="001D26D7">
        <w:t>,</w:t>
      </w:r>
      <w:r w:rsidR="00A04E62">
        <w:t xml:space="preserve"> </w:t>
      </w:r>
      <w:r w:rsidR="009F60EC">
        <w:t xml:space="preserve">either </w:t>
      </w:r>
      <w:r w:rsidR="0095485B">
        <w:t xml:space="preserve">in </w:t>
      </w:r>
      <w:r w:rsidR="007938AE">
        <w:t>family-based</w:t>
      </w:r>
      <w:r w:rsidR="0095485B">
        <w:t xml:space="preserve"> care or </w:t>
      </w:r>
      <w:r w:rsidR="007938AE">
        <w:t>nonfamily-based</w:t>
      </w:r>
      <w:r w:rsidR="0095485B">
        <w:t xml:space="preserve"> care</w:t>
      </w:r>
      <w:r w:rsidR="001D26D7">
        <w:t xml:space="preserve">. This includes any young person under 18 living independently. </w:t>
      </w:r>
    </w:p>
    <w:p w14:paraId="1DAC0D1B" w14:textId="77777777" w:rsidR="00492E4D" w:rsidRPr="00492E4D" w:rsidRDefault="00492E4D" w:rsidP="0041018F">
      <w:pPr>
        <w:jc w:val="both"/>
        <w:rPr>
          <w:b/>
          <w:bCs/>
          <w:color w:val="26555C"/>
          <w:sz w:val="24"/>
          <w:szCs w:val="28"/>
        </w:rPr>
      </w:pPr>
    </w:p>
    <w:p w14:paraId="720E0607" w14:textId="77777777" w:rsidR="007500C4" w:rsidRDefault="007500C4" w:rsidP="0041018F">
      <w:pPr>
        <w:jc w:val="both"/>
        <w:rPr>
          <w:b/>
          <w:bCs/>
          <w:color w:val="26555C"/>
          <w:sz w:val="24"/>
          <w:szCs w:val="28"/>
        </w:rPr>
      </w:pPr>
      <w:r w:rsidRPr="00CE227C">
        <w:rPr>
          <w:b/>
          <w:bCs/>
          <w:color w:val="26555C"/>
          <w:sz w:val="24"/>
          <w:szCs w:val="28"/>
        </w:rPr>
        <w:t>What activities does this include?</w:t>
      </w:r>
    </w:p>
    <w:p w14:paraId="1F0A325B" w14:textId="77777777" w:rsidR="007500C4" w:rsidRDefault="007500C4" w:rsidP="0041018F">
      <w:pPr>
        <w:jc w:val="both"/>
        <w:rPr>
          <w:rFonts w:cs="Arial"/>
          <w:szCs w:val="22"/>
        </w:rPr>
      </w:pPr>
      <w:r w:rsidRPr="00AE1D9C">
        <w:rPr>
          <w:rFonts w:cs="Arial"/>
          <w:szCs w:val="22"/>
        </w:rPr>
        <w:t>Extracurricular activity is any activity that promotes a child</w:t>
      </w:r>
      <w:r>
        <w:rPr>
          <w:rFonts w:cs="Arial"/>
          <w:szCs w:val="22"/>
        </w:rPr>
        <w:t xml:space="preserve"> or young person</w:t>
      </w:r>
      <w:r w:rsidRPr="00AE1D9C">
        <w:rPr>
          <w:rFonts w:cs="Arial"/>
          <w:szCs w:val="22"/>
        </w:rPr>
        <w:t xml:space="preserve">’s health, creativity, learning, wellbeing, cultural connection, or social, emotional or physical development. </w:t>
      </w:r>
    </w:p>
    <w:p w14:paraId="653A919E" w14:textId="77777777" w:rsidR="007500C4" w:rsidRDefault="007500C4" w:rsidP="0041018F">
      <w:pPr>
        <w:jc w:val="both"/>
        <w:rPr>
          <w:rFonts w:cs="Arial"/>
          <w:szCs w:val="22"/>
        </w:rPr>
      </w:pPr>
      <w:r>
        <w:rPr>
          <w:rFonts w:cs="Arial"/>
          <w:szCs w:val="22"/>
        </w:rPr>
        <w:t>E</w:t>
      </w:r>
      <w:r w:rsidRPr="003B6BA3">
        <w:rPr>
          <w:rFonts w:cs="Arial"/>
          <w:szCs w:val="22"/>
        </w:rPr>
        <w:t xml:space="preserve">xtracurricular activities include, but are not limited to, outside school tutoring, activities relating to art, sport, recreation, music, </w:t>
      </w:r>
      <w:r>
        <w:rPr>
          <w:rFonts w:cs="Arial"/>
          <w:szCs w:val="22"/>
        </w:rPr>
        <w:t xml:space="preserve">culture, </w:t>
      </w:r>
      <w:r w:rsidRPr="003B6BA3">
        <w:rPr>
          <w:rFonts w:cs="Arial"/>
          <w:szCs w:val="22"/>
        </w:rPr>
        <w:t xml:space="preserve">citizenship, </w:t>
      </w:r>
      <w:r>
        <w:rPr>
          <w:rFonts w:cs="Arial"/>
          <w:szCs w:val="22"/>
        </w:rPr>
        <w:t xml:space="preserve">On Country </w:t>
      </w:r>
      <w:r w:rsidRPr="003B6BA3">
        <w:rPr>
          <w:rFonts w:cs="Arial"/>
          <w:szCs w:val="22"/>
        </w:rPr>
        <w:t>programs</w:t>
      </w:r>
      <w:r>
        <w:rPr>
          <w:rFonts w:cs="Arial"/>
          <w:szCs w:val="22"/>
        </w:rPr>
        <w:t xml:space="preserve"> and camps</w:t>
      </w:r>
      <w:r w:rsidRPr="003B6BA3">
        <w:rPr>
          <w:rFonts w:cs="Arial"/>
          <w:szCs w:val="22"/>
        </w:rPr>
        <w:t xml:space="preserve">, and participation in </w:t>
      </w:r>
      <w:r w:rsidRPr="00545397">
        <w:rPr>
          <w:rFonts w:cs="Arial"/>
          <w:szCs w:val="22"/>
        </w:rPr>
        <w:t>clubs. </w:t>
      </w:r>
    </w:p>
    <w:p w14:paraId="12F13BF5" w14:textId="77777777" w:rsidR="007500C4" w:rsidRDefault="007500C4" w:rsidP="0041018F">
      <w:pPr>
        <w:jc w:val="both"/>
        <w:rPr>
          <w:rFonts w:cs="Arial"/>
          <w:szCs w:val="22"/>
        </w:rPr>
      </w:pPr>
      <w:r w:rsidRPr="00545397">
        <w:rPr>
          <w:rFonts w:cs="Arial"/>
          <w:szCs w:val="22"/>
        </w:rPr>
        <w:t xml:space="preserve">For children under the age of five this </w:t>
      </w:r>
      <w:r>
        <w:rPr>
          <w:rFonts w:cs="Arial"/>
          <w:szCs w:val="22"/>
        </w:rPr>
        <w:t xml:space="preserve">funding boost </w:t>
      </w:r>
      <w:r w:rsidRPr="00545397">
        <w:rPr>
          <w:rFonts w:cs="Arial"/>
          <w:szCs w:val="22"/>
        </w:rPr>
        <w:t xml:space="preserve">can support participation in activities such as swimming lessons, playgroups, and sensory and development classes. </w:t>
      </w:r>
    </w:p>
    <w:p w14:paraId="4B95EC83" w14:textId="77777777" w:rsidR="007500C4" w:rsidRDefault="007500C4" w:rsidP="0041018F">
      <w:pPr>
        <w:jc w:val="both"/>
      </w:pPr>
      <w:r>
        <w:t>T</w:t>
      </w:r>
      <w:r w:rsidRPr="00545397">
        <w:t xml:space="preserve">he $1500 boost can be used to support club memberships, enrolments, </w:t>
      </w:r>
      <w:r>
        <w:t xml:space="preserve">the purchase of </w:t>
      </w:r>
      <w:r w:rsidRPr="00545397">
        <w:t>equipment or other resources children and young people may need to participate.</w:t>
      </w:r>
    </w:p>
    <w:p w14:paraId="7CCD98CC" w14:textId="2CAF4ED0" w:rsidR="007B05F5" w:rsidRPr="007B05F5" w:rsidRDefault="007B05F5" w:rsidP="007B05F5">
      <w:pPr>
        <w:jc w:val="both"/>
      </w:pPr>
      <w:r w:rsidRPr="007B05F5">
        <w:t xml:space="preserve">The extracurricular activities are determined by the child or young person based on what is important to them and do not need to be part of an organised </w:t>
      </w:r>
      <w:r w:rsidR="00FE6CB5">
        <w:t>lesson</w:t>
      </w:r>
      <w:r w:rsidRPr="007B05F5">
        <w:t xml:space="preserve"> or event to be considered for the boost payment.</w:t>
      </w:r>
    </w:p>
    <w:p w14:paraId="2F3D21DD" w14:textId="77777777" w:rsidR="007500C4" w:rsidRDefault="007500C4" w:rsidP="0041018F">
      <w:pPr>
        <w:jc w:val="both"/>
        <w:rPr>
          <w:rFonts w:cs="Arial"/>
          <w:szCs w:val="22"/>
        </w:rPr>
      </w:pPr>
    </w:p>
    <w:p w14:paraId="75820722" w14:textId="77777777" w:rsidR="00CA21B1" w:rsidRPr="00492E4D" w:rsidRDefault="00CA21B1" w:rsidP="0041018F">
      <w:pPr>
        <w:jc w:val="both"/>
        <w:rPr>
          <w:b/>
          <w:bCs/>
          <w:color w:val="26555C"/>
          <w:sz w:val="24"/>
          <w:szCs w:val="28"/>
        </w:rPr>
      </w:pPr>
      <w:r w:rsidRPr="00492E4D">
        <w:rPr>
          <w:b/>
          <w:bCs/>
          <w:color w:val="26555C"/>
          <w:sz w:val="24"/>
          <w:szCs w:val="28"/>
        </w:rPr>
        <w:t xml:space="preserve">Does this include </w:t>
      </w:r>
      <w:r>
        <w:rPr>
          <w:b/>
          <w:bCs/>
          <w:color w:val="26555C"/>
          <w:sz w:val="24"/>
          <w:szCs w:val="28"/>
        </w:rPr>
        <w:t xml:space="preserve">Interim Orders, Temporary Assessment Orders, </w:t>
      </w:r>
      <w:r w:rsidRPr="00492E4D">
        <w:rPr>
          <w:b/>
          <w:bCs/>
          <w:color w:val="26555C"/>
          <w:sz w:val="24"/>
          <w:szCs w:val="28"/>
        </w:rPr>
        <w:t>C</w:t>
      </w:r>
      <w:r>
        <w:rPr>
          <w:b/>
          <w:bCs/>
          <w:color w:val="26555C"/>
          <w:sz w:val="24"/>
          <w:szCs w:val="28"/>
        </w:rPr>
        <w:t>ourt Assessment Orders and guardianship orders?</w:t>
      </w:r>
    </w:p>
    <w:p w14:paraId="18588D9A" w14:textId="77777777" w:rsidR="00CA21B1" w:rsidRDefault="00CA21B1" w:rsidP="0041018F">
      <w:pPr>
        <w:jc w:val="both"/>
      </w:pPr>
      <w:r>
        <w:t xml:space="preserve">Yes. </w:t>
      </w:r>
    </w:p>
    <w:p w14:paraId="7FBBF59C" w14:textId="3D73B34D" w:rsidR="00C9797D" w:rsidRDefault="00CA21B1" w:rsidP="0041018F">
      <w:pPr>
        <w:jc w:val="both"/>
      </w:pPr>
      <w:r>
        <w:t>A</w:t>
      </w:r>
      <w:r w:rsidRPr="0095485B">
        <w:t xml:space="preserve">ll children and young people subject to </w:t>
      </w:r>
      <w:r w:rsidR="00D938DB">
        <w:t xml:space="preserve">orders granting </w:t>
      </w:r>
      <w:r w:rsidRPr="0095485B">
        <w:t xml:space="preserve">custody or guardianship </w:t>
      </w:r>
      <w:r w:rsidR="00D938DB">
        <w:t xml:space="preserve">to </w:t>
      </w:r>
      <w:r w:rsidRPr="0095485B">
        <w:t>the Chief Executive</w:t>
      </w:r>
      <w:r>
        <w:t xml:space="preserve"> (on interim or final orders)</w:t>
      </w:r>
      <w:r w:rsidRPr="0095485B">
        <w:t xml:space="preserve"> or being cared for by long-term guardians or permanent guardians</w:t>
      </w:r>
      <w:r>
        <w:t xml:space="preserve"> </w:t>
      </w:r>
      <w:r w:rsidRPr="0095485B">
        <w:t xml:space="preserve">in accordance with the </w:t>
      </w:r>
      <w:r w:rsidRPr="0095485B">
        <w:rPr>
          <w:i/>
          <w:iCs/>
        </w:rPr>
        <w:t>Child Protection Act 1999</w:t>
      </w:r>
      <w:r>
        <w:rPr>
          <w:i/>
          <w:iCs/>
        </w:rPr>
        <w:t>,</w:t>
      </w:r>
      <w:r w:rsidRPr="0095485B">
        <w:t xml:space="preserve"> will be eligible.</w:t>
      </w:r>
      <w:r>
        <w:t xml:space="preserve"> </w:t>
      </w:r>
    </w:p>
    <w:p w14:paraId="0AD8A494" w14:textId="77777777" w:rsidR="00156664" w:rsidRDefault="00156664" w:rsidP="0041018F">
      <w:pPr>
        <w:jc w:val="both"/>
      </w:pPr>
    </w:p>
    <w:p w14:paraId="78B08504" w14:textId="2FF8C0C7" w:rsidR="00A52584" w:rsidRPr="00467BCA" w:rsidRDefault="00A52584" w:rsidP="0041018F">
      <w:pPr>
        <w:pStyle w:val="Heading4"/>
        <w:jc w:val="both"/>
        <w:rPr>
          <w:b/>
          <w:bCs/>
        </w:rPr>
      </w:pPr>
      <w:r>
        <w:rPr>
          <w:b/>
          <w:bCs/>
        </w:rPr>
        <w:lastRenderedPageBreak/>
        <w:t>How will the $1500 boost</w:t>
      </w:r>
      <w:r w:rsidRPr="00AA05C3">
        <w:rPr>
          <w:b/>
          <w:bCs/>
        </w:rPr>
        <w:t xml:space="preserve"> </w:t>
      </w:r>
      <w:r>
        <w:rPr>
          <w:b/>
          <w:bCs/>
        </w:rPr>
        <w:t>be provided to family-based carers?</w:t>
      </w:r>
    </w:p>
    <w:p w14:paraId="26EBF24D" w14:textId="6CEDD1AE" w:rsidR="00A52584" w:rsidRDefault="00A52584" w:rsidP="0041018F">
      <w:pPr>
        <w:jc w:val="both"/>
        <w:rPr>
          <w:rFonts w:cs="Arial"/>
        </w:rPr>
      </w:pPr>
      <w:bookmarkStart w:id="3" w:name="_Hlk191384628"/>
      <w:r w:rsidRPr="00AF1DFD">
        <w:t>Foster</w:t>
      </w:r>
      <w:r>
        <w:t xml:space="preserve"> carers, k</w:t>
      </w:r>
      <w:r w:rsidRPr="00AF1DFD">
        <w:t xml:space="preserve">inship carers and guardians will receive a biannual payment of $750 for </w:t>
      </w:r>
      <w:bookmarkStart w:id="4" w:name="_Hlk189119687"/>
      <w:r>
        <w:t xml:space="preserve">each </w:t>
      </w:r>
      <w:r w:rsidRPr="00AF1DFD">
        <w:t>child and</w:t>
      </w:r>
      <w:r>
        <w:t>/or</w:t>
      </w:r>
      <w:r w:rsidRPr="00AF1DFD">
        <w:t xml:space="preserve"> young pe</w:t>
      </w:r>
      <w:r>
        <w:t xml:space="preserve">rson </w:t>
      </w:r>
      <w:r w:rsidRPr="00AF1DFD">
        <w:t xml:space="preserve">in their care </w:t>
      </w:r>
      <w:r w:rsidR="00C9797D">
        <w:t xml:space="preserve">based </w:t>
      </w:r>
      <w:r w:rsidRPr="00AF1DFD">
        <w:t>on</w:t>
      </w:r>
      <w:r>
        <w:t xml:space="preserve"> the reference dates of</w:t>
      </w:r>
      <w:r w:rsidRPr="00AF1DFD">
        <w:t xml:space="preserve"> </w:t>
      </w:r>
      <w:bookmarkStart w:id="5" w:name="_Hlk189140775"/>
      <w:r w:rsidRPr="00AF1DFD">
        <w:t>1 July 2025 and 1 January 2026</w:t>
      </w:r>
      <w:bookmarkEnd w:id="4"/>
      <w:bookmarkEnd w:id="5"/>
      <w:r w:rsidRPr="00AF1DFD">
        <w:rPr>
          <w:rFonts w:cs="Arial"/>
        </w:rPr>
        <w:t>.</w:t>
      </w:r>
    </w:p>
    <w:p w14:paraId="44BB3396" w14:textId="54C2B9F5" w:rsidR="00A52584" w:rsidRDefault="00A52584" w:rsidP="0041018F">
      <w:pPr>
        <w:jc w:val="both"/>
        <w:rPr>
          <w:rFonts w:cs="Arial"/>
        </w:rPr>
      </w:pPr>
      <w:bookmarkStart w:id="6" w:name="_Hlk190782532"/>
      <w:bookmarkEnd w:id="3"/>
      <w:r w:rsidRPr="00AF1DFD">
        <w:rPr>
          <w:rFonts w:cs="Arial"/>
        </w:rPr>
        <w:t xml:space="preserve">Payments will be </w:t>
      </w:r>
      <w:r w:rsidR="00762783">
        <w:rPr>
          <w:rFonts w:cs="Arial"/>
        </w:rPr>
        <w:t>provided</w:t>
      </w:r>
      <w:r w:rsidRPr="00AF1DFD">
        <w:rPr>
          <w:rFonts w:cs="Arial"/>
        </w:rPr>
        <w:t xml:space="preserve"> alongside</w:t>
      </w:r>
      <w:r>
        <w:rPr>
          <w:rFonts w:cs="Arial"/>
        </w:rPr>
        <w:t>,</w:t>
      </w:r>
      <w:r w:rsidRPr="00AF1DFD">
        <w:rPr>
          <w:rFonts w:cs="Arial"/>
        </w:rPr>
        <w:t xml:space="preserve"> and in addition to</w:t>
      </w:r>
      <w:r>
        <w:rPr>
          <w:rFonts w:cs="Arial"/>
        </w:rPr>
        <w:t>,</w:t>
      </w:r>
      <w:r w:rsidRPr="00AF1DFD">
        <w:rPr>
          <w:rFonts w:cs="Arial"/>
        </w:rPr>
        <w:t xml:space="preserve"> existing fortnightly care allowances. Payments will be made directly to the primary carers and guardians, </w:t>
      </w:r>
      <w:r w:rsidR="0055698C" w:rsidRPr="0055698C">
        <w:rPr>
          <w:rFonts w:cs="Arial"/>
        </w:rPr>
        <w:t>in whose care the child or young person has been placed</w:t>
      </w:r>
      <w:r w:rsidRPr="00AF1DFD">
        <w:rPr>
          <w:rFonts w:cs="Arial"/>
        </w:rPr>
        <w:t>, for those</w:t>
      </w:r>
      <w:r>
        <w:rPr>
          <w:rFonts w:cs="Arial"/>
        </w:rPr>
        <w:t xml:space="preserve"> </w:t>
      </w:r>
      <w:r w:rsidRPr="002F06CE">
        <w:rPr>
          <w:rFonts w:cs="Arial"/>
        </w:rPr>
        <w:t xml:space="preserve">carers </w:t>
      </w:r>
      <w:bookmarkEnd w:id="6"/>
      <w:r>
        <w:rPr>
          <w:rFonts w:cs="Arial"/>
        </w:rPr>
        <w:t xml:space="preserve">and guardians </w:t>
      </w:r>
      <w:r w:rsidRPr="002F06CE">
        <w:rPr>
          <w:rFonts w:cs="Arial"/>
        </w:rPr>
        <w:t>to administer and facilitate access to the extracurricular</w:t>
      </w:r>
      <w:r>
        <w:rPr>
          <w:rFonts w:cs="Arial"/>
        </w:rPr>
        <w:t xml:space="preserve"> activities. </w:t>
      </w:r>
    </w:p>
    <w:p w14:paraId="3E870F7C" w14:textId="3CF9A0B5" w:rsidR="00FF2F02" w:rsidRDefault="00FF2F02" w:rsidP="0041018F">
      <w:pPr>
        <w:jc w:val="both"/>
        <w:rPr>
          <w:rFonts w:cs="Arial"/>
        </w:rPr>
      </w:pPr>
      <w:r>
        <w:rPr>
          <w:rFonts w:cs="Arial"/>
        </w:rPr>
        <w:t xml:space="preserve">Two central payment rounds are planned to follow each reference date and timed with the normal fortnightly care allowance payment cycle to make sure all eligible care arrangements are captured. If a care arrangement is late being recorded, they will be paid in the second payment round. </w:t>
      </w:r>
    </w:p>
    <w:p w14:paraId="5CB6E37F" w14:textId="77777777" w:rsidR="00A52584" w:rsidRDefault="00A52584" w:rsidP="0041018F">
      <w:pPr>
        <w:jc w:val="both"/>
      </w:pPr>
    </w:p>
    <w:p w14:paraId="6F426F74" w14:textId="77777777" w:rsidR="00A52584" w:rsidRPr="00AE1D9C" w:rsidRDefault="00A52584" w:rsidP="0041018F">
      <w:pPr>
        <w:pStyle w:val="Heading4"/>
        <w:jc w:val="both"/>
        <w:rPr>
          <w:b/>
          <w:bCs/>
        </w:rPr>
      </w:pPr>
      <w:r w:rsidRPr="00AE1D9C">
        <w:rPr>
          <w:b/>
          <w:bCs/>
        </w:rPr>
        <w:t xml:space="preserve">Which family-based carers </w:t>
      </w:r>
      <w:r>
        <w:rPr>
          <w:b/>
          <w:bCs/>
        </w:rPr>
        <w:t xml:space="preserve">will be provided </w:t>
      </w:r>
      <w:r w:rsidRPr="00AE1D9C">
        <w:rPr>
          <w:b/>
          <w:bCs/>
        </w:rPr>
        <w:t xml:space="preserve">the boost? </w:t>
      </w:r>
    </w:p>
    <w:p w14:paraId="6705A1DB" w14:textId="0A1CE84B" w:rsidR="00D46422" w:rsidRDefault="00A52584" w:rsidP="0041018F">
      <w:pPr>
        <w:jc w:val="both"/>
      </w:pPr>
      <w:r w:rsidRPr="00AE1D9C">
        <w:t xml:space="preserve">The biannual boost payments will be provided to the primary carers and guardians, </w:t>
      </w:r>
      <w:r w:rsidR="000572E9" w:rsidRPr="000572E9">
        <w:t xml:space="preserve">in whose care the child or young person has been placed </w:t>
      </w:r>
      <w:r w:rsidR="000572E9">
        <w:t xml:space="preserve">based </w:t>
      </w:r>
      <w:r>
        <w:t xml:space="preserve">on the </w:t>
      </w:r>
      <w:r w:rsidRPr="00AE1D9C">
        <w:t>reference dates of 1 July 2025 and 1 January 2026</w:t>
      </w:r>
      <w:r>
        <w:t xml:space="preserve">.  </w:t>
      </w:r>
    </w:p>
    <w:p w14:paraId="62BA99B1" w14:textId="44FADD39" w:rsidR="00A52584" w:rsidRPr="00AE1D9C" w:rsidRDefault="00A52584" w:rsidP="0041018F">
      <w:pPr>
        <w:jc w:val="both"/>
      </w:pPr>
      <w:r>
        <w:t xml:space="preserve">This includes </w:t>
      </w:r>
      <w:r w:rsidRPr="00AE1D9C">
        <w:t>approved foster and kinship carers, provisionally approved carers</w:t>
      </w:r>
      <w:r>
        <w:t xml:space="preserve"> as well as </w:t>
      </w:r>
      <w:r w:rsidRPr="00AE1D9C">
        <w:t xml:space="preserve">long term </w:t>
      </w:r>
      <w:r>
        <w:t xml:space="preserve">and </w:t>
      </w:r>
      <w:r w:rsidRPr="00AE1D9C">
        <w:t xml:space="preserve">permanent guardians. </w:t>
      </w:r>
    </w:p>
    <w:p w14:paraId="2BA71283" w14:textId="77777777" w:rsidR="00A52584" w:rsidRPr="00AE1D9C" w:rsidRDefault="00A52584" w:rsidP="0041018F">
      <w:pPr>
        <w:jc w:val="both"/>
      </w:pPr>
      <w:r>
        <w:t xml:space="preserve">  </w:t>
      </w:r>
    </w:p>
    <w:p w14:paraId="43E79D48" w14:textId="09CA7A4E" w:rsidR="00D450FF" w:rsidRDefault="00D450FF" w:rsidP="0041018F">
      <w:pPr>
        <w:jc w:val="both"/>
        <w:rPr>
          <w:b/>
          <w:bCs/>
          <w:color w:val="26555C"/>
          <w:sz w:val="24"/>
          <w:szCs w:val="28"/>
        </w:rPr>
      </w:pPr>
      <w:r>
        <w:rPr>
          <w:b/>
          <w:bCs/>
          <w:color w:val="26555C"/>
          <w:sz w:val="24"/>
          <w:szCs w:val="28"/>
        </w:rPr>
        <w:t xml:space="preserve">What tasks does the child safety service centre need to undertake to facilitate the $1500 </w:t>
      </w:r>
      <w:r w:rsidR="00957B7F">
        <w:rPr>
          <w:b/>
          <w:bCs/>
          <w:color w:val="26555C"/>
          <w:sz w:val="24"/>
          <w:szCs w:val="28"/>
        </w:rPr>
        <w:t>boost payment</w:t>
      </w:r>
      <w:r>
        <w:rPr>
          <w:b/>
          <w:bCs/>
          <w:color w:val="26555C"/>
          <w:sz w:val="24"/>
          <w:szCs w:val="28"/>
        </w:rPr>
        <w:t xml:space="preserve"> to family-based carers? </w:t>
      </w:r>
    </w:p>
    <w:p w14:paraId="0C135193" w14:textId="4FF26475" w:rsidR="00762783" w:rsidRDefault="00D450FF" w:rsidP="0041018F">
      <w:pPr>
        <w:jc w:val="both"/>
      </w:pPr>
      <w:r>
        <w:t>T</w:t>
      </w:r>
      <w:r w:rsidRPr="00D450FF">
        <w:t>he payment to</w:t>
      </w:r>
      <w:r>
        <w:t xml:space="preserve"> </w:t>
      </w:r>
      <w:r w:rsidR="00762783">
        <w:t>family-based</w:t>
      </w:r>
      <w:r>
        <w:t xml:space="preserve"> carers will be </w:t>
      </w:r>
      <w:r w:rsidR="00762783">
        <w:t xml:space="preserve">administered </w:t>
      </w:r>
      <w:r>
        <w:t>centrally using Unify carer information</w:t>
      </w:r>
      <w:r w:rsidR="00762783">
        <w:t xml:space="preserve">, </w:t>
      </w:r>
      <w:r w:rsidR="00D46422">
        <w:t>however,</w:t>
      </w:r>
      <w:r w:rsidR="00762783">
        <w:t xml:space="preserve"> to ensure that the payment of the boost proceeds efficiently the child safety service centres </w:t>
      </w:r>
      <w:r w:rsidR="00D46422">
        <w:t xml:space="preserve">(CSSCs) </w:t>
      </w:r>
      <w:r w:rsidR="00762783">
        <w:t>need to undertake the following tasks</w:t>
      </w:r>
      <w:r w:rsidR="009C2805" w:rsidRPr="009C2805">
        <w:rPr>
          <w:bCs/>
        </w:rPr>
        <w:t xml:space="preserve"> prior to the CarePay cut-off date in which the reference date falls</w:t>
      </w:r>
      <w:r w:rsidR="00762783">
        <w:t xml:space="preserve">: </w:t>
      </w:r>
    </w:p>
    <w:p w14:paraId="5C2D3C42" w14:textId="4F7DF40B" w:rsidR="00762783" w:rsidRDefault="00762783" w:rsidP="00156664">
      <w:pPr>
        <w:pStyle w:val="ListParagraph"/>
        <w:numPr>
          <w:ilvl w:val="0"/>
          <w:numId w:val="13"/>
        </w:numPr>
        <w:ind w:left="720" w:right="424" w:hanging="436"/>
        <w:jc w:val="both"/>
      </w:pPr>
      <w:r>
        <w:t>Business Support Teams or the responsible CSSC Administration Officer complete any outstanding tasks in the aged Care</w:t>
      </w:r>
      <w:r w:rsidR="00D938DB">
        <w:t>P</w:t>
      </w:r>
      <w:r>
        <w:t xml:space="preserve">ay report that may delay the payment. </w:t>
      </w:r>
    </w:p>
    <w:p w14:paraId="5C697BCB" w14:textId="7A7E723D" w:rsidR="00762783" w:rsidRDefault="00762783" w:rsidP="00156664">
      <w:pPr>
        <w:pStyle w:val="ListParagraph"/>
        <w:numPr>
          <w:ilvl w:val="0"/>
          <w:numId w:val="13"/>
        </w:numPr>
        <w:ind w:left="720" w:right="424" w:hanging="436"/>
        <w:jc w:val="both"/>
      </w:pPr>
      <w:r>
        <w:t xml:space="preserve">Child </w:t>
      </w:r>
      <w:r w:rsidR="00D938DB">
        <w:t>S</w:t>
      </w:r>
      <w:r>
        <w:t xml:space="preserve">afety </w:t>
      </w:r>
      <w:r w:rsidR="00D938DB">
        <w:t>O</w:t>
      </w:r>
      <w:r>
        <w:t xml:space="preserve">fficers update Unify care arrangement information to ensure the care arrangement dates for children and young people placed in family-based care on the reference dates is accurate. </w:t>
      </w:r>
    </w:p>
    <w:p w14:paraId="63410B1D" w14:textId="5FF18751" w:rsidR="00D450FF" w:rsidRDefault="00762783" w:rsidP="0041018F">
      <w:pPr>
        <w:jc w:val="both"/>
      </w:pPr>
      <w:r>
        <w:t xml:space="preserve">Primary carers and guardians are paid based on the care arrangement dates in Unify if they fall within the boost reference dates. If the Unify information is not updated the carers may not receive the payment or be incorrectly paid.   </w:t>
      </w:r>
    </w:p>
    <w:p w14:paraId="2CDF62EF" w14:textId="77777777" w:rsidR="00BA3EA5" w:rsidRDefault="00BA3EA5" w:rsidP="0041018F">
      <w:pPr>
        <w:jc w:val="both"/>
      </w:pPr>
    </w:p>
    <w:p w14:paraId="77CE5672" w14:textId="1F366EA3" w:rsidR="00BA3EA5" w:rsidRPr="00BA3EA5" w:rsidRDefault="00BA3EA5" w:rsidP="0041018F">
      <w:pPr>
        <w:jc w:val="both"/>
        <w:rPr>
          <w:b/>
          <w:bCs/>
          <w:color w:val="26555C"/>
          <w:sz w:val="24"/>
          <w:szCs w:val="28"/>
        </w:rPr>
      </w:pPr>
      <w:r w:rsidRPr="00BA3EA5">
        <w:rPr>
          <w:b/>
          <w:bCs/>
          <w:color w:val="26555C"/>
          <w:sz w:val="24"/>
          <w:szCs w:val="28"/>
        </w:rPr>
        <w:t xml:space="preserve">What if an eligible family-based carer is not paid the </w:t>
      </w:r>
      <w:r>
        <w:rPr>
          <w:b/>
          <w:bCs/>
          <w:color w:val="26555C"/>
          <w:sz w:val="24"/>
          <w:szCs w:val="28"/>
        </w:rPr>
        <w:t>$1500 boost</w:t>
      </w:r>
      <w:r w:rsidRPr="00BA3EA5">
        <w:rPr>
          <w:b/>
          <w:bCs/>
          <w:color w:val="26555C"/>
          <w:sz w:val="24"/>
          <w:szCs w:val="28"/>
        </w:rPr>
        <w:t xml:space="preserve">? </w:t>
      </w:r>
    </w:p>
    <w:p w14:paraId="3DF91224" w14:textId="5805A23F" w:rsidR="00957B7F" w:rsidRDefault="00957B7F" w:rsidP="0041018F">
      <w:pPr>
        <w:jc w:val="both"/>
      </w:pPr>
      <w:r w:rsidRPr="00957B7F">
        <w:t xml:space="preserve">Another payment of the boost will be administered </w:t>
      </w:r>
      <w:r w:rsidR="009C2805" w:rsidRPr="00957B7F">
        <w:t>centrally</w:t>
      </w:r>
      <w:r w:rsidR="009C2805" w:rsidRPr="009C2805">
        <w:rPr>
          <w:bCs/>
          <w:iCs/>
          <w:szCs w:val="22"/>
        </w:rPr>
        <w:t xml:space="preserve"> </w:t>
      </w:r>
      <w:r w:rsidR="009C2805" w:rsidRPr="009C2805">
        <w:rPr>
          <w:bCs/>
          <w:iCs/>
        </w:rPr>
        <w:t>the next fortnightly caring allowance payment cycle</w:t>
      </w:r>
      <w:r w:rsidR="009C2805">
        <w:rPr>
          <w:bCs/>
          <w:iCs/>
        </w:rPr>
        <w:t xml:space="preserve"> after the reference date</w:t>
      </w:r>
      <w:r w:rsidR="009C2805">
        <w:t xml:space="preserve"> </w:t>
      </w:r>
      <w:r w:rsidRPr="00957B7F">
        <w:t xml:space="preserve">to capture the carers that may have missed out on receiving the boost due to incorrect Unify information.  </w:t>
      </w:r>
    </w:p>
    <w:p w14:paraId="29A0DD78" w14:textId="6549BAEC" w:rsidR="00AC2EAD" w:rsidRDefault="003C5F49" w:rsidP="0041018F">
      <w:pPr>
        <w:jc w:val="both"/>
      </w:pPr>
      <w:r>
        <w:t>I</w:t>
      </w:r>
      <w:r w:rsidR="00957B7F">
        <w:t xml:space="preserve">f a carer is missed during the </w:t>
      </w:r>
      <w:r>
        <w:t xml:space="preserve">first and </w:t>
      </w:r>
      <w:r w:rsidR="00957B7F">
        <w:t>second payment cycle</w:t>
      </w:r>
      <w:r>
        <w:t>,</w:t>
      </w:r>
      <w:r w:rsidR="00957B7F">
        <w:t xml:space="preserve"> CSSCs will be responsible </w:t>
      </w:r>
      <w:r w:rsidR="00C9797D">
        <w:t>for identifying</w:t>
      </w:r>
      <w:r w:rsidR="009C2805">
        <w:t xml:space="preserve"> any eligible carers b</w:t>
      </w:r>
      <w:r w:rsidR="00957B7F">
        <w:t xml:space="preserve">y checking SAP against the placement report. </w:t>
      </w:r>
      <w:r>
        <w:t xml:space="preserve">Any </w:t>
      </w:r>
      <w:r w:rsidR="00957B7F">
        <w:t>ca</w:t>
      </w:r>
      <w:r>
        <w:t xml:space="preserve">ses identified are to be referred to </w:t>
      </w:r>
      <w:hyperlink r:id="rId8" w:history="1">
        <w:r w:rsidRPr="00D91F09">
          <w:rPr>
            <w:rStyle w:val="Hyperlink"/>
            <w:rFonts w:cs="Arial"/>
          </w:rPr>
          <w:t>carerboostpayment@dcssds.qld.gov.au</w:t>
        </w:r>
      </w:hyperlink>
      <w:r>
        <w:rPr>
          <w:rStyle w:val="Hyperlink"/>
          <w:rFonts w:cs="Arial"/>
        </w:rPr>
        <w:t xml:space="preserve"> </w:t>
      </w:r>
      <w:r w:rsidR="00FF2F02">
        <w:t>for processing</w:t>
      </w:r>
      <w:r w:rsidR="00957B7F">
        <w:t>.</w:t>
      </w:r>
    </w:p>
    <w:p w14:paraId="5943B519" w14:textId="6269F704" w:rsidR="00AC2EAD" w:rsidRDefault="00AC2EAD" w:rsidP="0041018F">
      <w:pPr>
        <w:jc w:val="both"/>
      </w:pPr>
    </w:p>
    <w:p w14:paraId="3ABFA0B5" w14:textId="77777777" w:rsidR="003C5F49" w:rsidRDefault="003C5F49" w:rsidP="0041018F">
      <w:pPr>
        <w:jc w:val="both"/>
      </w:pPr>
    </w:p>
    <w:p w14:paraId="75743BC5" w14:textId="77777777" w:rsidR="00156664" w:rsidRDefault="00156664" w:rsidP="0041018F">
      <w:pPr>
        <w:jc w:val="both"/>
      </w:pPr>
    </w:p>
    <w:p w14:paraId="550F680A" w14:textId="77777777" w:rsidR="00156664" w:rsidRDefault="00156664" w:rsidP="0041018F">
      <w:pPr>
        <w:jc w:val="both"/>
      </w:pPr>
    </w:p>
    <w:p w14:paraId="51B7E289" w14:textId="6E3A1D83" w:rsidR="00AC2EAD" w:rsidRDefault="00AC2EAD" w:rsidP="0041018F">
      <w:pPr>
        <w:jc w:val="both"/>
      </w:pPr>
      <w:r w:rsidRPr="00AC2EAD">
        <w:rPr>
          <w:b/>
          <w:bCs/>
          <w:color w:val="26555C"/>
          <w:sz w:val="24"/>
          <w:szCs w:val="28"/>
        </w:rPr>
        <w:lastRenderedPageBreak/>
        <w:t xml:space="preserve">How long will </w:t>
      </w:r>
      <w:r w:rsidR="00CC0F0B">
        <w:rPr>
          <w:b/>
          <w:bCs/>
          <w:color w:val="26555C"/>
          <w:sz w:val="24"/>
          <w:szCs w:val="28"/>
        </w:rPr>
        <w:t xml:space="preserve">the </w:t>
      </w:r>
      <w:r w:rsidRPr="00AC2EAD">
        <w:rPr>
          <w:b/>
          <w:bCs/>
          <w:color w:val="26555C"/>
          <w:sz w:val="24"/>
          <w:szCs w:val="28"/>
        </w:rPr>
        <w:t>CSSC have to identify eligible carers or guardians who did not receive the boost payment</w:t>
      </w:r>
      <w:r>
        <w:rPr>
          <w:b/>
          <w:bCs/>
          <w:color w:val="26555C"/>
          <w:sz w:val="24"/>
          <w:szCs w:val="28"/>
        </w:rPr>
        <w:t>?</w:t>
      </w:r>
    </w:p>
    <w:p w14:paraId="4586A6CF" w14:textId="2EDF9AB2" w:rsidR="009C2805" w:rsidRPr="009C2805" w:rsidRDefault="009C2805" w:rsidP="0041018F">
      <w:pPr>
        <w:jc w:val="both"/>
      </w:pPr>
      <w:r w:rsidRPr="009C2805">
        <w:t>After two fortnightly caring allowance payment runs have occurred CSSCs have a further month to identify eligible carers or guardians who did not receive the boost payment in the first two payment cycles</w:t>
      </w:r>
      <w:r w:rsidR="00AC2EAD">
        <w:t xml:space="preserve"> and notify the responsible business area</w:t>
      </w:r>
      <w:r w:rsidRPr="009C2805">
        <w:t>.</w:t>
      </w:r>
    </w:p>
    <w:p w14:paraId="6F78C7C9" w14:textId="77777777" w:rsidR="00BA3EA5" w:rsidRPr="00BA3EA5" w:rsidRDefault="00BA3EA5" w:rsidP="0041018F">
      <w:pPr>
        <w:jc w:val="both"/>
        <w:rPr>
          <w:color w:val="26555C"/>
          <w:sz w:val="24"/>
          <w:szCs w:val="28"/>
        </w:rPr>
      </w:pPr>
    </w:p>
    <w:p w14:paraId="437E050E" w14:textId="0CC33DE2" w:rsidR="00A52584" w:rsidRDefault="00A52584" w:rsidP="0041018F">
      <w:pPr>
        <w:jc w:val="both"/>
        <w:rPr>
          <w:b/>
          <w:bCs/>
          <w:color w:val="26555C"/>
          <w:sz w:val="24"/>
          <w:szCs w:val="28"/>
        </w:rPr>
      </w:pPr>
      <w:r w:rsidRPr="00AC0677">
        <w:rPr>
          <w:b/>
          <w:bCs/>
          <w:color w:val="26555C"/>
          <w:sz w:val="24"/>
          <w:szCs w:val="28"/>
        </w:rPr>
        <w:t xml:space="preserve">For children </w:t>
      </w:r>
      <w:r w:rsidR="00D46422">
        <w:rPr>
          <w:b/>
          <w:bCs/>
          <w:color w:val="26555C"/>
          <w:sz w:val="24"/>
          <w:szCs w:val="28"/>
        </w:rPr>
        <w:t xml:space="preserve">or young people </w:t>
      </w:r>
      <w:r w:rsidRPr="00AC0677">
        <w:rPr>
          <w:b/>
          <w:bCs/>
          <w:color w:val="26555C"/>
          <w:sz w:val="24"/>
          <w:szCs w:val="28"/>
        </w:rPr>
        <w:t>on active shared care arrangements</w:t>
      </w:r>
      <w:r>
        <w:rPr>
          <w:b/>
          <w:bCs/>
          <w:color w:val="26555C"/>
          <w:sz w:val="24"/>
          <w:szCs w:val="28"/>
        </w:rPr>
        <w:t xml:space="preserve"> or </w:t>
      </w:r>
      <w:r w:rsidR="00DF4244">
        <w:rPr>
          <w:b/>
          <w:bCs/>
          <w:color w:val="26555C"/>
          <w:sz w:val="24"/>
          <w:szCs w:val="28"/>
        </w:rPr>
        <w:t xml:space="preserve">a </w:t>
      </w:r>
      <w:r w:rsidR="00DF4244" w:rsidRPr="00DF4244">
        <w:rPr>
          <w:b/>
          <w:bCs/>
          <w:color w:val="26555C"/>
          <w:sz w:val="24"/>
          <w:szCs w:val="28"/>
        </w:rPr>
        <w:t xml:space="preserve">short break care arrangement that is approved as a dual payment </w:t>
      </w:r>
      <w:r w:rsidRPr="00AC0677">
        <w:rPr>
          <w:b/>
          <w:bCs/>
          <w:color w:val="26555C"/>
          <w:sz w:val="24"/>
          <w:szCs w:val="28"/>
        </w:rPr>
        <w:t xml:space="preserve">how </w:t>
      </w:r>
      <w:r>
        <w:rPr>
          <w:b/>
          <w:bCs/>
          <w:color w:val="26555C"/>
          <w:sz w:val="24"/>
          <w:szCs w:val="28"/>
        </w:rPr>
        <w:t xml:space="preserve">will the $1500 boost payment </w:t>
      </w:r>
      <w:r w:rsidRPr="00AC0677">
        <w:rPr>
          <w:b/>
          <w:bCs/>
          <w:color w:val="26555C"/>
          <w:sz w:val="24"/>
          <w:szCs w:val="28"/>
        </w:rPr>
        <w:t>be allocated</w:t>
      </w:r>
      <w:r>
        <w:rPr>
          <w:b/>
          <w:bCs/>
          <w:color w:val="26555C"/>
          <w:sz w:val="24"/>
          <w:szCs w:val="28"/>
        </w:rPr>
        <w:t>?</w:t>
      </w:r>
    </w:p>
    <w:p w14:paraId="5494BF47" w14:textId="77777777" w:rsidR="00A52584" w:rsidRDefault="00A52584" w:rsidP="0041018F">
      <w:pPr>
        <w:jc w:val="both"/>
        <w:rPr>
          <w:bCs/>
        </w:rPr>
      </w:pPr>
      <w:r w:rsidRPr="00AC0677">
        <w:rPr>
          <w:bCs/>
        </w:rPr>
        <w:t xml:space="preserve">Payments will be made to the </w:t>
      </w:r>
      <w:r>
        <w:rPr>
          <w:bCs/>
        </w:rPr>
        <w:t>p</w:t>
      </w:r>
      <w:r w:rsidRPr="00AC0677">
        <w:rPr>
          <w:bCs/>
        </w:rPr>
        <w:t xml:space="preserve">rimary </w:t>
      </w:r>
      <w:r>
        <w:rPr>
          <w:bCs/>
        </w:rPr>
        <w:t>c</w:t>
      </w:r>
      <w:r w:rsidRPr="00AC0677">
        <w:rPr>
          <w:bCs/>
        </w:rPr>
        <w:t>arer</w:t>
      </w:r>
      <w:r>
        <w:rPr>
          <w:bCs/>
        </w:rPr>
        <w:t>.</w:t>
      </w:r>
      <w:r w:rsidRPr="001D26D7">
        <w:rPr>
          <w:bCs/>
        </w:rPr>
        <w:t xml:space="preserve"> </w:t>
      </w:r>
      <w:r>
        <w:rPr>
          <w:bCs/>
        </w:rPr>
        <w:t>There will be no dual payment of the boost payment for carers.</w:t>
      </w:r>
    </w:p>
    <w:p w14:paraId="2D0DB5BC" w14:textId="77777777" w:rsidR="00A52584" w:rsidRPr="00AE1D9C" w:rsidRDefault="00A52584" w:rsidP="0041018F">
      <w:pPr>
        <w:jc w:val="both"/>
      </w:pPr>
    </w:p>
    <w:p w14:paraId="0201CAA9" w14:textId="77777777" w:rsidR="00A52584" w:rsidRPr="00467BCA" w:rsidRDefault="00A52584" w:rsidP="0041018F">
      <w:pPr>
        <w:pStyle w:val="Heading4"/>
        <w:jc w:val="both"/>
        <w:rPr>
          <w:b/>
          <w:bCs/>
        </w:rPr>
      </w:pPr>
      <w:r>
        <w:rPr>
          <w:b/>
          <w:bCs/>
        </w:rPr>
        <w:t>When will family-based carers and guardians expect to receive the payments?</w:t>
      </w:r>
    </w:p>
    <w:p w14:paraId="19C87550" w14:textId="68829ADF" w:rsidR="00A52584" w:rsidRDefault="00A52584" w:rsidP="0041018F">
      <w:pPr>
        <w:jc w:val="both"/>
        <w:rPr>
          <w:rFonts w:cs="Arial"/>
        </w:rPr>
      </w:pPr>
      <w:r>
        <w:rPr>
          <w:rFonts w:cs="Arial"/>
        </w:rPr>
        <w:t>The extracurricular boost p</w:t>
      </w:r>
      <w:r w:rsidRPr="00AF1DFD">
        <w:rPr>
          <w:rFonts w:cs="Arial"/>
        </w:rPr>
        <w:t xml:space="preserve">ayment </w:t>
      </w:r>
      <w:r>
        <w:rPr>
          <w:rFonts w:cs="Arial"/>
        </w:rPr>
        <w:t xml:space="preserve">will arrive as close as possible to the day a carer or guardian’s </w:t>
      </w:r>
      <w:r w:rsidRPr="00AF1DFD">
        <w:rPr>
          <w:rFonts w:cs="Arial"/>
        </w:rPr>
        <w:t>fortnightly care allowance</w:t>
      </w:r>
      <w:r>
        <w:rPr>
          <w:rFonts w:cs="Arial"/>
        </w:rPr>
        <w:t xml:space="preserve"> payment is scheduled following the reference dates of 1 July </w:t>
      </w:r>
      <w:r w:rsidR="00D938DB">
        <w:rPr>
          <w:rFonts w:cs="Arial"/>
        </w:rPr>
        <w:t xml:space="preserve">2025 </w:t>
      </w:r>
      <w:r>
        <w:rPr>
          <w:rFonts w:cs="Arial"/>
        </w:rPr>
        <w:t>and 1 January</w:t>
      </w:r>
      <w:r w:rsidR="00D938DB">
        <w:rPr>
          <w:rFonts w:cs="Arial"/>
        </w:rPr>
        <w:t xml:space="preserve"> 2026</w:t>
      </w:r>
      <w:r w:rsidRPr="00AF1DFD">
        <w:rPr>
          <w:rFonts w:cs="Arial"/>
        </w:rPr>
        <w:t>.</w:t>
      </w:r>
      <w:r>
        <w:rPr>
          <w:rFonts w:cs="Arial"/>
        </w:rPr>
        <w:t xml:space="preserve"> </w:t>
      </w:r>
    </w:p>
    <w:p w14:paraId="3B032757" w14:textId="63E22B00" w:rsidR="00FF2F02" w:rsidRDefault="00FF2F02" w:rsidP="0041018F">
      <w:pPr>
        <w:jc w:val="both"/>
        <w:rPr>
          <w:rFonts w:cs="Arial"/>
        </w:rPr>
      </w:pPr>
      <w:r>
        <w:rPr>
          <w:rFonts w:cs="Arial"/>
        </w:rPr>
        <w:t xml:space="preserve">For July 2025, this means the majority of carers will receive the boost payment in the week commencing 14 July. The subsequent </w:t>
      </w:r>
      <w:r w:rsidR="00663773">
        <w:rPr>
          <w:rFonts w:cs="Arial"/>
        </w:rPr>
        <w:t xml:space="preserve">boost payment run will be made in the week commencing 28 July. </w:t>
      </w:r>
    </w:p>
    <w:p w14:paraId="3A492F38" w14:textId="77777777" w:rsidR="00A52584" w:rsidRDefault="00A52584" w:rsidP="0041018F">
      <w:pPr>
        <w:jc w:val="both"/>
        <w:rPr>
          <w:rFonts w:cs="Arial"/>
        </w:rPr>
      </w:pPr>
    </w:p>
    <w:p w14:paraId="24A547D2" w14:textId="1433AA03" w:rsidR="00A52584" w:rsidRPr="00580FCF" w:rsidRDefault="00A52584" w:rsidP="0041018F">
      <w:pPr>
        <w:pStyle w:val="Heading4"/>
        <w:jc w:val="both"/>
        <w:rPr>
          <w:b/>
          <w:bCs/>
        </w:rPr>
      </w:pPr>
      <w:r w:rsidRPr="00580FCF">
        <w:rPr>
          <w:b/>
          <w:bCs/>
        </w:rPr>
        <w:t xml:space="preserve">Who receives the payment if a child moves between </w:t>
      </w:r>
      <w:r>
        <w:rPr>
          <w:b/>
          <w:bCs/>
        </w:rPr>
        <w:t xml:space="preserve">family-based </w:t>
      </w:r>
      <w:r w:rsidRPr="00580FCF">
        <w:rPr>
          <w:b/>
          <w:bCs/>
        </w:rPr>
        <w:t>carers on the refe</w:t>
      </w:r>
      <w:r>
        <w:rPr>
          <w:b/>
          <w:bCs/>
        </w:rPr>
        <w:t>re</w:t>
      </w:r>
      <w:r w:rsidRPr="00580FCF">
        <w:rPr>
          <w:b/>
          <w:bCs/>
        </w:rPr>
        <w:t>nce dates</w:t>
      </w:r>
      <w:r>
        <w:rPr>
          <w:b/>
          <w:bCs/>
        </w:rPr>
        <w:t>?</w:t>
      </w:r>
      <w:r w:rsidRPr="00580FCF">
        <w:rPr>
          <w:b/>
          <w:bCs/>
        </w:rPr>
        <w:t xml:space="preserve"> </w:t>
      </w:r>
    </w:p>
    <w:p w14:paraId="73C0F9E9" w14:textId="77777777" w:rsidR="00A52584" w:rsidRDefault="00A52584" w:rsidP="0041018F">
      <w:pPr>
        <w:jc w:val="both"/>
        <w:rPr>
          <w:bCs/>
        </w:rPr>
      </w:pPr>
      <w:r w:rsidRPr="00580FCF">
        <w:rPr>
          <w:bCs/>
        </w:rPr>
        <w:t xml:space="preserve">The carer where the child or young person is moving to will receive the boost. </w:t>
      </w:r>
      <w:r>
        <w:rPr>
          <w:bCs/>
        </w:rPr>
        <w:t xml:space="preserve">Unlike other carer allowances that are paid in arrears, the allowance </w:t>
      </w:r>
      <w:r w:rsidRPr="006C2167">
        <w:rPr>
          <w:bCs/>
        </w:rPr>
        <w:t>for extracurricular activities</w:t>
      </w:r>
      <w:r>
        <w:rPr>
          <w:bCs/>
        </w:rPr>
        <w:t xml:space="preserve"> will be paid in advance to help carers budget expected </w:t>
      </w:r>
      <w:r w:rsidRPr="006C2167">
        <w:rPr>
          <w:bCs/>
        </w:rPr>
        <w:t>extracurricular</w:t>
      </w:r>
      <w:r>
        <w:rPr>
          <w:bCs/>
        </w:rPr>
        <w:t xml:space="preserve"> care costs.</w:t>
      </w:r>
    </w:p>
    <w:p w14:paraId="3C127828" w14:textId="77777777" w:rsidR="00A52584" w:rsidRDefault="00A52584" w:rsidP="0041018F">
      <w:pPr>
        <w:jc w:val="both"/>
        <w:rPr>
          <w:bCs/>
        </w:rPr>
      </w:pPr>
    </w:p>
    <w:p w14:paraId="0FA35AA3" w14:textId="6A717D17" w:rsidR="00A52584" w:rsidRPr="00A52584" w:rsidRDefault="00A52584" w:rsidP="0041018F">
      <w:pPr>
        <w:pStyle w:val="Heading4"/>
        <w:jc w:val="both"/>
        <w:rPr>
          <w:b/>
          <w:bCs/>
        </w:rPr>
      </w:pPr>
      <w:bookmarkStart w:id="7" w:name="_Hlk197510353"/>
      <w:r w:rsidRPr="00A52584">
        <w:rPr>
          <w:b/>
          <w:bCs/>
        </w:rPr>
        <w:t>Will family-based carers need to provide receipts</w:t>
      </w:r>
      <w:r>
        <w:rPr>
          <w:b/>
          <w:bCs/>
        </w:rPr>
        <w:t xml:space="preserve"> when they receive the allowance? </w:t>
      </w:r>
    </w:p>
    <w:p w14:paraId="4D404971" w14:textId="4D7E29CE" w:rsidR="00A52584" w:rsidRDefault="00AC2EAD" w:rsidP="0041018F">
      <w:pPr>
        <w:jc w:val="both"/>
        <w:rPr>
          <w:bCs/>
        </w:rPr>
      </w:pPr>
      <w:r>
        <w:rPr>
          <w:bCs/>
        </w:rPr>
        <w:t xml:space="preserve">No. </w:t>
      </w:r>
      <w:r w:rsidR="00A52584" w:rsidRPr="009346B5">
        <w:rPr>
          <w:bCs/>
        </w:rPr>
        <w:t>Consistent with other long standing care allowance policies</w:t>
      </w:r>
      <w:r w:rsidR="00A52584">
        <w:rPr>
          <w:bCs/>
        </w:rPr>
        <w:t>,</w:t>
      </w:r>
      <w:r w:rsidR="00A52584" w:rsidRPr="009346B5">
        <w:rPr>
          <w:bCs/>
        </w:rPr>
        <w:t xml:space="preserve"> carers</w:t>
      </w:r>
      <w:r w:rsidR="00A52584">
        <w:rPr>
          <w:bCs/>
        </w:rPr>
        <w:t xml:space="preserve"> </w:t>
      </w:r>
      <w:r w:rsidR="00A52584" w:rsidRPr="009346B5">
        <w:rPr>
          <w:bCs/>
        </w:rPr>
        <w:t xml:space="preserve">do not provide receipts against allowances. </w:t>
      </w:r>
    </w:p>
    <w:bookmarkEnd w:id="7"/>
    <w:p w14:paraId="364E602C" w14:textId="77777777" w:rsidR="00A52584" w:rsidRDefault="00A52584" w:rsidP="0041018F">
      <w:pPr>
        <w:jc w:val="both"/>
        <w:rPr>
          <w:b/>
          <w:bCs/>
          <w:color w:val="26555C"/>
          <w:sz w:val="24"/>
          <w:szCs w:val="28"/>
        </w:rPr>
      </w:pPr>
    </w:p>
    <w:p w14:paraId="77CC55F1" w14:textId="77777777" w:rsidR="00A52584" w:rsidRPr="009346B5" w:rsidRDefault="00A52584" w:rsidP="0041018F">
      <w:pPr>
        <w:jc w:val="both"/>
        <w:rPr>
          <w:b/>
          <w:bCs/>
          <w:color w:val="26555C"/>
          <w:sz w:val="24"/>
          <w:szCs w:val="28"/>
        </w:rPr>
      </w:pPr>
      <w:r w:rsidRPr="009346B5">
        <w:rPr>
          <w:b/>
          <w:bCs/>
          <w:color w:val="26555C"/>
          <w:sz w:val="24"/>
          <w:szCs w:val="28"/>
        </w:rPr>
        <w:t>Will payments transfer</w:t>
      </w:r>
      <w:r>
        <w:rPr>
          <w:b/>
          <w:bCs/>
          <w:color w:val="26555C"/>
          <w:sz w:val="24"/>
          <w:szCs w:val="28"/>
        </w:rPr>
        <w:t xml:space="preserve"> </w:t>
      </w:r>
      <w:r w:rsidRPr="009346B5">
        <w:rPr>
          <w:b/>
          <w:bCs/>
          <w:color w:val="26555C"/>
          <w:sz w:val="24"/>
          <w:szCs w:val="28"/>
        </w:rPr>
        <w:t>to new carer</w:t>
      </w:r>
      <w:r>
        <w:rPr>
          <w:b/>
          <w:bCs/>
          <w:color w:val="26555C"/>
          <w:sz w:val="24"/>
          <w:szCs w:val="28"/>
        </w:rPr>
        <w:t>s</w:t>
      </w:r>
      <w:r w:rsidRPr="009346B5">
        <w:rPr>
          <w:b/>
          <w:bCs/>
          <w:color w:val="26555C"/>
          <w:sz w:val="24"/>
          <w:szCs w:val="28"/>
        </w:rPr>
        <w:t xml:space="preserve"> if a child </w:t>
      </w:r>
      <w:r>
        <w:rPr>
          <w:b/>
          <w:bCs/>
          <w:color w:val="26555C"/>
          <w:sz w:val="24"/>
          <w:szCs w:val="28"/>
        </w:rPr>
        <w:t xml:space="preserve">or young person </w:t>
      </w:r>
      <w:r w:rsidRPr="009346B5">
        <w:rPr>
          <w:b/>
          <w:bCs/>
          <w:color w:val="26555C"/>
          <w:sz w:val="24"/>
          <w:szCs w:val="28"/>
        </w:rPr>
        <w:t>moves placement</w:t>
      </w:r>
      <w:r>
        <w:rPr>
          <w:b/>
          <w:bCs/>
          <w:color w:val="26555C"/>
          <w:sz w:val="24"/>
          <w:szCs w:val="28"/>
        </w:rPr>
        <w:t xml:space="preserve"> or enters family-based care after 1 July</w:t>
      </w:r>
      <w:r w:rsidRPr="009346B5">
        <w:rPr>
          <w:b/>
          <w:bCs/>
          <w:color w:val="26555C"/>
          <w:sz w:val="24"/>
          <w:szCs w:val="28"/>
        </w:rPr>
        <w:t>?</w:t>
      </w:r>
    </w:p>
    <w:p w14:paraId="7509F635" w14:textId="0E0460FC" w:rsidR="00A52584" w:rsidRDefault="00A52584" w:rsidP="0041018F">
      <w:pPr>
        <w:jc w:val="both"/>
        <w:rPr>
          <w:bCs/>
        </w:rPr>
      </w:pPr>
      <w:r>
        <w:rPr>
          <w:bCs/>
        </w:rPr>
        <w:t xml:space="preserve">No. </w:t>
      </w:r>
      <w:r w:rsidRPr="009346B5">
        <w:rPr>
          <w:bCs/>
        </w:rPr>
        <w:t>Financial support needed</w:t>
      </w:r>
      <w:r>
        <w:rPr>
          <w:bCs/>
        </w:rPr>
        <w:t xml:space="preserve"> for children and young people in family-based care in</w:t>
      </w:r>
      <w:r w:rsidR="00AC2EAD">
        <w:rPr>
          <w:bCs/>
        </w:rPr>
        <w:t xml:space="preserve"> </w:t>
      </w:r>
      <w:r w:rsidRPr="009346B5">
        <w:rPr>
          <w:bCs/>
        </w:rPr>
        <w:t xml:space="preserve">between </w:t>
      </w:r>
      <w:r>
        <w:rPr>
          <w:bCs/>
        </w:rPr>
        <w:t xml:space="preserve">biannual </w:t>
      </w:r>
      <w:r w:rsidRPr="009346B5">
        <w:rPr>
          <w:bCs/>
        </w:rPr>
        <w:t>payments</w:t>
      </w:r>
      <w:r>
        <w:rPr>
          <w:bCs/>
        </w:rPr>
        <w:t xml:space="preserve"> </w:t>
      </w:r>
      <w:r w:rsidRPr="009346B5">
        <w:rPr>
          <w:bCs/>
        </w:rPr>
        <w:t>will be met</w:t>
      </w:r>
      <w:r>
        <w:rPr>
          <w:bCs/>
        </w:rPr>
        <w:t xml:space="preserve"> via other existing financial support mechanism</w:t>
      </w:r>
      <w:r w:rsidR="00D938DB">
        <w:rPr>
          <w:bCs/>
        </w:rPr>
        <w:t>s</w:t>
      </w:r>
      <w:r>
        <w:rPr>
          <w:bCs/>
        </w:rPr>
        <w:t xml:space="preserve"> such as</w:t>
      </w:r>
      <w:r w:rsidRPr="009346B5">
        <w:rPr>
          <w:bCs/>
        </w:rPr>
        <w:t xml:space="preserve"> </w:t>
      </w:r>
      <w:r>
        <w:rPr>
          <w:bCs/>
        </w:rPr>
        <w:t>C</w:t>
      </w:r>
      <w:r w:rsidRPr="009346B5">
        <w:rPr>
          <w:bCs/>
        </w:rPr>
        <w:t xml:space="preserve">hild </w:t>
      </w:r>
      <w:r>
        <w:rPr>
          <w:bCs/>
        </w:rPr>
        <w:t>R</w:t>
      </w:r>
      <w:r w:rsidRPr="009346B5">
        <w:rPr>
          <w:bCs/>
        </w:rPr>
        <w:t xml:space="preserve">elated </w:t>
      </w:r>
      <w:r>
        <w:rPr>
          <w:bCs/>
        </w:rPr>
        <w:t>C</w:t>
      </w:r>
      <w:r w:rsidRPr="009346B5">
        <w:rPr>
          <w:bCs/>
        </w:rPr>
        <w:t xml:space="preserve">osts. </w:t>
      </w:r>
    </w:p>
    <w:p w14:paraId="1A37529B" w14:textId="77777777" w:rsidR="00A52584" w:rsidRDefault="00A52584" w:rsidP="0041018F">
      <w:pPr>
        <w:jc w:val="both"/>
        <w:rPr>
          <w:bCs/>
        </w:rPr>
      </w:pPr>
      <w:r>
        <w:rPr>
          <w:bCs/>
        </w:rPr>
        <w:t>Some payments</w:t>
      </w:r>
      <w:r w:rsidRPr="00FB312D">
        <w:rPr>
          <w:bCs/>
        </w:rPr>
        <w:t xml:space="preserve"> </w:t>
      </w:r>
      <w:r>
        <w:rPr>
          <w:bCs/>
        </w:rPr>
        <w:t xml:space="preserve">if previously paid and used </w:t>
      </w:r>
      <w:r w:rsidRPr="00FB312D">
        <w:rPr>
          <w:bCs/>
        </w:rPr>
        <w:t>(i</w:t>
      </w:r>
      <w:r>
        <w:rPr>
          <w:bCs/>
        </w:rPr>
        <w:t>.</w:t>
      </w:r>
      <w:r w:rsidRPr="00FB312D">
        <w:rPr>
          <w:bCs/>
        </w:rPr>
        <w:t>e</w:t>
      </w:r>
      <w:r>
        <w:rPr>
          <w:bCs/>
        </w:rPr>
        <w:t>.</w:t>
      </w:r>
      <w:r w:rsidRPr="00FB312D">
        <w:rPr>
          <w:bCs/>
        </w:rPr>
        <w:t xml:space="preserve"> tutoring, sport equipment</w:t>
      </w:r>
      <w:r>
        <w:rPr>
          <w:bCs/>
        </w:rPr>
        <w:t xml:space="preserve"> or club membership</w:t>
      </w:r>
      <w:r w:rsidRPr="00FB312D">
        <w:rPr>
          <w:bCs/>
        </w:rPr>
        <w:t xml:space="preserve">) will follow </w:t>
      </w:r>
      <w:r>
        <w:rPr>
          <w:bCs/>
        </w:rPr>
        <w:t>children and young people to</w:t>
      </w:r>
      <w:r w:rsidRPr="00FB312D">
        <w:rPr>
          <w:bCs/>
        </w:rPr>
        <w:t xml:space="preserve"> subsequent care arrangement</w:t>
      </w:r>
      <w:r>
        <w:rPr>
          <w:bCs/>
        </w:rPr>
        <w:t>s. When this is not possible, existing support mechanisms,</w:t>
      </w:r>
      <w:r w:rsidRPr="00FB312D">
        <w:rPr>
          <w:bCs/>
        </w:rPr>
        <w:t xml:space="preserve"> such as Child Related Costs</w:t>
      </w:r>
      <w:r>
        <w:rPr>
          <w:bCs/>
        </w:rPr>
        <w:t xml:space="preserve">, will be used. </w:t>
      </w:r>
    </w:p>
    <w:p w14:paraId="70A353AB" w14:textId="77777777" w:rsidR="00D450FF" w:rsidRDefault="00D450FF" w:rsidP="0041018F">
      <w:pPr>
        <w:pStyle w:val="Heading4"/>
        <w:jc w:val="both"/>
        <w:rPr>
          <w:b/>
          <w:bCs/>
        </w:rPr>
      </w:pPr>
    </w:p>
    <w:p w14:paraId="5768C7D1" w14:textId="2EF535AE" w:rsidR="00A52584" w:rsidRPr="00AC074C" w:rsidRDefault="00A52584" w:rsidP="0041018F">
      <w:pPr>
        <w:pStyle w:val="Heading4"/>
        <w:jc w:val="both"/>
        <w:rPr>
          <w:b/>
          <w:bCs/>
        </w:rPr>
      </w:pPr>
      <w:r>
        <w:rPr>
          <w:b/>
          <w:bCs/>
        </w:rPr>
        <w:t xml:space="preserve">Will existing </w:t>
      </w:r>
      <w:r w:rsidR="00D450FF">
        <w:rPr>
          <w:b/>
          <w:bCs/>
        </w:rPr>
        <w:t xml:space="preserve">family-based </w:t>
      </w:r>
      <w:r>
        <w:rPr>
          <w:b/>
          <w:bCs/>
        </w:rPr>
        <w:t>carer supports be affected by the</w:t>
      </w:r>
      <w:r w:rsidRPr="00C27338">
        <w:rPr>
          <w:b/>
          <w:bCs/>
        </w:rPr>
        <w:t xml:space="preserve"> $1500 boost</w:t>
      </w:r>
      <w:r>
        <w:rPr>
          <w:b/>
          <w:bCs/>
        </w:rPr>
        <w:t>?</w:t>
      </w:r>
    </w:p>
    <w:p w14:paraId="69C69003" w14:textId="77777777" w:rsidR="00A52584" w:rsidRDefault="00A52584" w:rsidP="0041018F">
      <w:pPr>
        <w:jc w:val="both"/>
      </w:pPr>
      <w:r>
        <w:t xml:space="preserve">No. </w:t>
      </w:r>
    </w:p>
    <w:p w14:paraId="0343E5EC" w14:textId="5909561F" w:rsidR="00A52584" w:rsidRDefault="00A52584" w:rsidP="0041018F">
      <w:pPr>
        <w:jc w:val="both"/>
      </w:pPr>
      <w:r>
        <w:t>The</w:t>
      </w:r>
      <w:r w:rsidRPr="00C27338">
        <w:t xml:space="preserve"> $1500 boost</w:t>
      </w:r>
      <w:r>
        <w:t xml:space="preserve"> does not replace or substitute any existing allowances or financial supports. It is provided in addition to other allowances. Existing carer supports will continue even when the allowance is provided. </w:t>
      </w:r>
    </w:p>
    <w:p w14:paraId="5ED841C3" w14:textId="2F7F3494" w:rsidR="00A52584" w:rsidRPr="00C27338" w:rsidRDefault="00A52584" w:rsidP="0041018F">
      <w:pPr>
        <w:pStyle w:val="Heading4"/>
        <w:jc w:val="both"/>
        <w:rPr>
          <w:b/>
          <w:bCs/>
        </w:rPr>
      </w:pPr>
      <w:r w:rsidRPr="00C27338">
        <w:rPr>
          <w:b/>
          <w:bCs/>
        </w:rPr>
        <w:lastRenderedPageBreak/>
        <w:t xml:space="preserve">What if a </w:t>
      </w:r>
      <w:r w:rsidR="00D450FF">
        <w:rPr>
          <w:b/>
          <w:bCs/>
        </w:rPr>
        <w:t xml:space="preserve">family-based </w:t>
      </w:r>
      <w:r w:rsidRPr="00C27338">
        <w:rPr>
          <w:b/>
          <w:bCs/>
        </w:rPr>
        <w:t>carer is currently receiving financial support for extracurricular activities?</w:t>
      </w:r>
    </w:p>
    <w:p w14:paraId="382F1E8F" w14:textId="3F8F3EF0" w:rsidR="009C2805" w:rsidRDefault="00A52584" w:rsidP="0041018F">
      <w:pPr>
        <w:jc w:val="both"/>
      </w:pPr>
      <w:r>
        <w:t>If a carer is receiving high or complex support needs allowance or is being reimbursed through child related costs for any extracurricular activity this support will continue</w:t>
      </w:r>
      <w:r w:rsidR="00D272DF">
        <w:t xml:space="preserve"> as approved</w:t>
      </w:r>
      <w:r>
        <w:t xml:space="preserve">, and the boost will be provided in addition to </w:t>
      </w:r>
      <w:r w:rsidR="00D272DF">
        <w:t xml:space="preserve">these </w:t>
      </w:r>
      <w:r>
        <w:t xml:space="preserve">existing supports. </w:t>
      </w:r>
    </w:p>
    <w:p w14:paraId="4FE7C8AD" w14:textId="77777777" w:rsidR="00A91938" w:rsidRPr="00A91938" w:rsidRDefault="00A91938" w:rsidP="0041018F">
      <w:pPr>
        <w:jc w:val="both"/>
      </w:pPr>
    </w:p>
    <w:p w14:paraId="4BC01654" w14:textId="551DC717" w:rsidR="00AA05C3" w:rsidRPr="00467BCA" w:rsidRDefault="00AA05C3" w:rsidP="0041018F">
      <w:pPr>
        <w:pStyle w:val="Heading4"/>
        <w:jc w:val="both"/>
        <w:rPr>
          <w:b/>
          <w:bCs/>
        </w:rPr>
      </w:pPr>
      <w:r>
        <w:rPr>
          <w:b/>
          <w:bCs/>
        </w:rPr>
        <w:t xml:space="preserve">How will </w:t>
      </w:r>
      <w:r w:rsidRPr="00AA05C3">
        <w:rPr>
          <w:b/>
          <w:bCs/>
        </w:rPr>
        <w:t xml:space="preserve">children </w:t>
      </w:r>
      <w:r w:rsidR="00E71980">
        <w:rPr>
          <w:b/>
          <w:bCs/>
        </w:rPr>
        <w:t xml:space="preserve">and young people </w:t>
      </w:r>
      <w:r w:rsidRPr="00AA05C3">
        <w:rPr>
          <w:b/>
          <w:bCs/>
        </w:rPr>
        <w:t xml:space="preserve">in </w:t>
      </w:r>
      <w:r w:rsidR="007938AE">
        <w:rPr>
          <w:b/>
          <w:bCs/>
        </w:rPr>
        <w:t>nonf</w:t>
      </w:r>
      <w:r w:rsidR="007938AE" w:rsidRPr="00AA05C3">
        <w:rPr>
          <w:b/>
          <w:bCs/>
        </w:rPr>
        <w:t>amily-based</w:t>
      </w:r>
      <w:r w:rsidRPr="00AA05C3">
        <w:rPr>
          <w:b/>
          <w:bCs/>
        </w:rPr>
        <w:t xml:space="preserve"> care </w:t>
      </w:r>
      <w:r>
        <w:rPr>
          <w:b/>
          <w:bCs/>
        </w:rPr>
        <w:t xml:space="preserve">access </w:t>
      </w:r>
      <w:bookmarkStart w:id="8" w:name="_Hlk197431176"/>
      <w:r>
        <w:rPr>
          <w:b/>
          <w:bCs/>
        </w:rPr>
        <w:t>the $1500 boost</w:t>
      </w:r>
      <w:bookmarkEnd w:id="8"/>
      <w:r>
        <w:rPr>
          <w:b/>
          <w:bCs/>
        </w:rPr>
        <w:t>?</w:t>
      </w:r>
    </w:p>
    <w:p w14:paraId="519B2ADE" w14:textId="372DAC2B" w:rsidR="00AA05C3" w:rsidRDefault="00AA05C3" w:rsidP="0041018F">
      <w:pPr>
        <w:jc w:val="both"/>
        <w:rPr>
          <w:rFonts w:cs="Arial"/>
        </w:rPr>
      </w:pPr>
      <w:bookmarkStart w:id="9" w:name="_Hlk191384680"/>
      <w:r w:rsidRPr="00141569">
        <w:rPr>
          <w:rFonts w:cs="Arial"/>
        </w:rPr>
        <w:t>For children</w:t>
      </w:r>
      <w:r w:rsidR="009F60EC">
        <w:rPr>
          <w:rFonts w:cs="Arial"/>
        </w:rPr>
        <w:t xml:space="preserve"> and young people</w:t>
      </w:r>
      <w:r w:rsidRPr="00141569">
        <w:rPr>
          <w:rFonts w:cs="Arial"/>
        </w:rPr>
        <w:t xml:space="preserve"> in </w:t>
      </w:r>
      <w:r w:rsidR="007938AE" w:rsidRPr="00141569">
        <w:rPr>
          <w:rFonts w:cs="Arial"/>
        </w:rPr>
        <w:t>nonfamily</w:t>
      </w:r>
      <w:r w:rsidRPr="00141569">
        <w:rPr>
          <w:rFonts w:cs="Arial"/>
        </w:rPr>
        <w:t>-based care</w:t>
      </w:r>
      <w:bookmarkStart w:id="10" w:name="_Hlk197505223"/>
      <w:r w:rsidR="002401A7">
        <w:rPr>
          <w:rFonts w:cs="Arial"/>
        </w:rPr>
        <w:t xml:space="preserve"> </w:t>
      </w:r>
      <w:bookmarkEnd w:id="10"/>
      <w:r w:rsidR="002401A7">
        <w:rPr>
          <w:rFonts w:cs="Arial"/>
        </w:rPr>
        <w:t xml:space="preserve">reimbursement of </w:t>
      </w:r>
      <w:r w:rsidRPr="00141569">
        <w:rPr>
          <w:rFonts w:cs="Arial"/>
        </w:rPr>
        <w:t xml:space="preserve">extracurricular expenses up to $1500 per </w:t>
      </w:r>
      <w:r w:rsidR="00816A5F">
        <w:rPr>
          <w:rFonts w:cs="Arial"/>
        </w:rPr>
        <w:t xml:space="preserve">child or young person per </w:t>
      </w:r>
      <w:r w:rsidR="00AC2EAD">
        <w:rPr>
          <w:rFonts w:cs="Arial"/>
        </w:rPr>
        <w:t xml:space="preserve">annum </w:t>
      </w:r>
      <w:r w:rsidR="00AC2EAD" w:rsidRPr="00141569">
        <w:rPr>
          <w:rFonts w:cs="Arial"/>
        </w:rPr>
        <w:t>will</w:t>
      </w:r>
      <w:r w:rsidR="002401A7">
        <w:rPr>
          <w:rFonts w:cs="Arial"/>
        </w:rPr>
        <w:t xml:space="preserve"> be made </w:t>
      </w:r>
      <w:r w:rsidRPr="00141569">
        <w:rPr>
          <w:rFonts w:cs="Arial"/>
        </w:rPr>
        <w:t xml:space="preserve">through existing child-related costs mechanisms. </w:t>
      </w:r>
    </w:p>
    <w:p w14:paraId="5C18E8C4" w14:textId="7229735B" w:rsidR="002401A7" w:rsidRPr="00B754D1" w:rsidRDefault="002401A7" w:rsidP="00B754D1">
      <w:pPr>
        <w:rPr>
          <w:rFonts w:cs="Arial"/>
          <w:iCs/>
        </w:rPr>
      </w:pPr>
      <w:r>
        <w:rPr>
          <w:rFonts w:cs="Arial"/>
        </w:rPr>
        <w:t>For any young people under 18 living independently</w:t>
      </w:r>
      <w:r w:rsidR="00B754D1" w:rsidRPr="00B754D1">
        <w:rPr>
          <w:iCs/>
          <w:szCs w:val="22"/>
        </w:rPr>
        <w:t xml:space="preserve"> </w:t>
      </w:r>
      <w:r w:rsidR="00B754D1" w:rsidRPr="00B754D1">
        <w:rPr>
          <w:rFonts w:cs="Arial"/>
          <w:iCs/>
        </w:rPr>
        <w:t xml:space="preserve">or a child or young person placed with a parent under the </w:t>
      </w:r>
      <w:r w:rsidR="00B754D1" w:rsidRPr="00B754D1">
        <w:rPr>
          <w:rFonts w:cs="Arial"/>
          <w:i/>
        </w:rPr>
        <w:t>Child Protection Act 1999</w:t>
      </w:r>
      <w:r w:rsidR="00B754D1" w:rsidRPr="00B754D1">
        <w:rPr>
          <w:rFonts w:cs="Arial"/>
          <w:iCs/>
        </w:rPr>
        <w:t>, </w:t>
      </w:r>
      <w:hyperlink r:id="rId9" w:anchor="sec.82" w:tgtFrame="_blank" w:history="1">
        <w:r w:rsidR="00B754D1" w:rsidRPr="00B754D1">
          <w:rPr>
            <w:rStyle w:val="Hyperlink"/>
            <w:rFonts w:cs="Arial"/>
            <w:iCs/>
          </w:rPr>
          <w:t>section 82(2)</w:t>
        </w:r>
      </w:hyperlink>
      <w:r>
        <w:rPr>
          <w:rFonts w:cs="Arial"/>
        </w:rPr>
        <w:t xml:space="preserve">, the same supports will be available </w:t>
      </w:r>
      <w:r w:rsidR="00984E98">
        <w:rPr>
          <w:rFonts w:cs="Arial"/>
        </w:rPr>
        <w:t xml:space="preserve">and </w:t>
      </w:r>
      <w:r>
        <w:rPr>
          <w:rFonts w:cs="Arial"/>
        </w:rPr>
        <w:t xml:space="preserve">provided via </w:t>
      </w:r>
      <w:r w:rsidRPr="002401A7">
        <w:rPr>
          <w:rFonts w:cs="Arial"/>
        </w:rPr>
        <w:t>child-related costs mechanisms.</w:t>
      </w:r>
    </w:p>
    <w:p w14:paraId="6A7ED1DC" w14:textId="55E6A598" w:rsidR="00AA05C3" w:rsidRDefault="00A31DF0" w:rsidP="0041018F">
      <w:pPr>
        <w:jc w:val="both"/>
      </w:pPr>
      <w:bookmarkStart w:id="11" w:name="_Hlk191539152"/>
      <w:r>
        <w:t>A</w:t>
      </w:r>
      <w:r w:rsidR="00AA05C3">
        <w:t xml:space="preserve"> pre-approved </w:t>
      </w:r>
      <w:r w:rsidR="00AA05C3" w:rsidRPr="00061A7A">
        <w:t>child related cost reimbursements</w:t>
      </w:r>
      <w:r w:rsidR="00AA05C3">
        <w:t xml:space="preserve"> process will be available for up to $1500</w:t>
      </w:r>
      <w:r w:rsidR="00AA05C3" w:rsidRPr="00061A7A">
        <w:t>.</w:t>
      </w:r>
      <w:r w:rsidR="00AA05C3">
        <w:t xml:space="preserve"> </w:t>
      </w:r>
      <w:bookmarkEnd w:id="9"/>
      <w:r w:rsidR="00AA05C3">
        <w:t xml:space="preserve">Confirmation of enrolment in extracurricular activities and costs incurred is all that is needed for the child related cost payment to be made to the </w:t>
      </w:r>
      <w:bookmarkEnd w:id="11"/>
      <w:r w:rsidR="007938AE">
        <w:t>nonfamily-based</w:t>
      </w:r>
      <w:r w:rsidR="002401A7">
        <w:t xml:space="preserve"> care </w:t>
      </w:r>
      <w:r w:rsidR="00FB43B5">
        <w:t>service</w:t>
      </w:r>
      <w:r w:rsidR="002401A7">
        <w:t>s</w:t>
      </w:r>
      <w:r w:rsidR="00AA05C3">
        <w:t>.</w:t>
      </w:r>
      <w:r w:rsidR="00820C94">
        <w:t xml:space="preserve"> </w:t>
      </w:r>
      <w:r w:rsidR="00AA05C3">
        <w:t>Th</w:t>
      </w:r>
      <w:r w:rsidR="00AA05C3" w:rsidRPr="00467BCA">
        <w:t>is</w:t>
      </w:r>
      <w:r w:rsidR="00AA05C3">
        <w:t xml:space="preserve"> pre-approved</w:t>
      </w:r>
      <w:r w:rsidR="00AA05C3" w:rsidRPr="00467BCA">
        <w:t xml:space="preserve"> payment is on top </w:t>
      </w:r>
      <w:r w:rsidR="00AA05C3">
        <w:t xml:space="preserve">of existing funding already provided to services to support a child or young person’s participation in activities. </w:t>
      </w:r>
    </w:p>
    <w:p w14:paraId="3BE5C50B" w14:textId="77777777" w:rsidR="00C52C08" w:rsidRDefault="00C52C08" w:rsidP="0041018F">
      <w:pPr>
        <w:jc w:val="both"/>
      </w:pPr>
    </w:p>
    <w:p w14:paraId="164AB58D" w14:textId="77777777" w:rsidR="007500C4" w:rsidRDefault="007500C4" w:rsidP="0041018F">
      <w:pPr>
        <w:jc w:val="both"/>
        <w:rPr>
          <w:b/>
          <w:bCs/>
          <w:color w:val="26555C"/>
          <w:sz w:val="24"/>
          <w:szCs w:val="28"/>
        </w:rPr>
      </w:pPr>
      <w:r>
        <w:rPr>
          <w:b/>
          <w:bCs/>
          <w:color w:val="26555C"/>
          <w:sz w:val="24"/>
          <w:szCs w:val="28"/>
        </w:rPr>
        <w:t xml:space="preserve">Who is considered a nonfamily-based care provider? </w:t>
      </w:r>
    </w:p>
    <w:p w14:paraId="4B23A5CF" w14:textId="77777777" w:rsidR="007500C4" w:rsidRDefault="007500C4" w:rsidP="0041018F">
      <w:pPr>
        <w:jc w:val="both"/>
        <w:rPr>
          <w:b/>
          <w:bCs/>
          <w:color w:val="26555C"/>
          <w:sz w:val="24"/>
          <w:szCs w:val="28"/>
        </w:rPr>
      </w:pPr>
      <w:r>
        <w:t xml:space="preserve">Nonfamily-based care providers are </w:t>
      </w:r>
      <w:r>
        <w:rPr>
          <w:iCs/>
        </w:rPr>
        <w:t>organisations who hold an authority to care for children and young people in care</w:t>
      </w:r>
      <w:r>
        <w:t xml:space="preserve"> and include residential care service providers, supported independent living services, safe houses, emergent accommodation as well as other entities under the </w:t>
      </w:r>
      <w:r>
        <w:rPr>
          <w:i/>
          <w:iCs/>
        </w:rPr>
        <w:t>Child Protection Act 1999, section 82(1)(f)</w:t>
      </w:r>
      <w:r>
        <w:t>.</w:t>
      </w:r>
      <w:r>
        <w:rPr>
          <w:b/>
          <w:bCs/>
          <w:color w:val="26555C"/>
          <w:sz w:val="24"/>
          <w:szCs w:val="28"/>
        </w:rPr>
        <w:t xml:space="preserve"> </w:t>
      </w:r>
    </w:p>
    <w:p w14:paraId="4277F1E9" w14:textId="77777777" w:rsidR="007500C4" w:rsidRDefault="007500C4" w:rsidP="0041018F">
      <w:pPr>
        <w:jc w:val="both"/>
      </w:pPr>
    </w:p>
    <w:p w14:paraId="7CCEBA58" w14:textId="0AD592EF" w:rsidR="00E71980" w:rsidRDefault="00E71980" w:rsidP="0041018F">
      <w:pPr>
        <w:pStyle w:val="Heading4"/>
        <w:jc w:val="both"/>
        <w:rPr>
          <w:b/>
          <w:bCs/>
        </w:rPr>
      </w:pPr>
      <w:r>
        <w:rPr>
          <w:b/>
          <w:bCs/>
        </w:rPr>
        <w:t xml:space="preserve">How will a young person living independently </w:t>
      </w:r>
      <w:r w:rsidR="00B754D1" w:rsidRPr="00B754D1">
        <w:rPr>
          <w:b/>
          <w:bCs/>
        </w:rPr>
        <w:t xml:space="preserve">or a child or young person placed with a parent under the </w:t>
      </w:r>
      <w:r w:rsidR="00B754D1" w:rsidRPr="00B754D1">
        <w:rPr>
          <w:b/>
          <w:bCs/>
          <w:i/>
          <w:iCs/>
        </w:rPr>
        <w:t>Child Protection Act 1999</w:t>
      </w:r>
      <w:r w:rsidR="00B754D1" w:rsidRPr="00B754D1">
        <w:rPr>
          <w:b/>
          <w:bCs/>
        </w:rPr>
        <w:t>, section 82(2)</w:t>
      </w:r>
      <w:r w:rsidR="00B754D1">
        <w:rPr>
          <w:b/>
          <w:bCs/>
        </w:rPr>
        <w:t xml:space="preserve"> </w:t>
      </w:r>
      <w:r>
        <w:rPr>
          <w:b/>
          <w:bCs/>
        </w:rPr>
        <w:t xml:space="preserve">access the boost? </w:t>
      </w:r>
    </w:p>
    <w:p w14:paraId="39506FA1" w14:textId="25018406" w:rsidR="00E71980" w:rsidRPr="00E71980" w:rsidRDefault="00E71980" w:rsidP="0041018F">
      <w:pPr>
        <w:jc w:val="both"/>
      </w:pPr>
      <w:r>
        <w:t xml:space="preserve">For young people living independently the boost will be accessed as a </w:t>
      </w:r>
      <w:r w:rsidRPr="00E71980">
        <w:t>pre-approved child related cost reimbursement</w:t>
      </w:r>
      <w:r>
        <w:t xml:space="preserve">. </w:t>
      </w:r>
      <w:r w:rsidR="00B754D1">
        <w:t>T</w:t>
      </w:r>
      <w:r w:rsidR="00B754D1" w:rsidRPr="00B754D1">
        <w:t>he boost will be administered similar to existing processes for child related cost reimbursement for this group. They will not be provided payments directly instead the payment will be provided to an organisation or business entity and purchases will be made on their behalf</w:t>
      </w:r>
      <w:r w:rsidR="001B6EAC">
        <w:t>. T</w:t>
      </w:r>
      <w:r>
        <w:t xml:space="preserve">he </w:t>
      </w:r>
      <w:r w:rsidR="00B754D1">
        <w:t xml:space="preserve">child or </w:t>
      </w:r>
      <w:r>
        <w:t xml:space="preserve">young person’s </w:t>
      </w:r>
      <w:r w:rsidR="00A002DF">
        <w:t>C</w:t>
      </w:r>
      <w:r>
        <w:t xml:space="preserve">hild </w:t>
      </w:r>
      <w:r w:rsidR="00A002DF">
        <w:t>S</w:t>
      </w:r>
      <w:r>
        <w:t xml:space="preserve">afety </w:t>
      </w:r>
      <w:r w:rsidR="00A002DF">
        <w:t>O</w:t>
      </w:r>
      <w:r>
        <w:t xml:space="preserve">fficer can </w:t>
      </w:r>
      <w:r w:rsidR="00B754D1">
        <w:t>submit the application</w:t>
      </w:r>
      <w:r>
        <w:t xml:space="preserve"> </w:t>
      </w:r>
      <w:r w:rsidR="00B754D1">
        <w:t xml:space="preserve">on </w:t>
      </w:r>
      <w:r w:rsidR="00A002DF">
        <w:t>th</w:t>
      </w:r>
      <w:r w:rsidR="00B754D1">
        <w:t>eir</w:t>
      </w:r>
      <w:r w:rsidR="00A002DF">
        <w:t xml:space="preserve"> </w:t>
      </w:r>
      <w:r w:rsidR="00B754D1">
        <w:t>b</w:t>
      </w:r>
      <w:r>
        <w:t xml:space="preserve">ehalf.  </w:t>
      </w:r>
    </w:p>
    <w:p w14:paraId="030F1D60" w14:textId="77777777" w:rsidR="00CA21B1" w:rsidRDefault="00CA21B1" w:rsidP="0041018F">
      <w:pPr>
        <w:jc w:val="both"/>
      </w:pPr>
    </w:p>
    <w:p w14:paraId="75E6A112" w14:textId="08FB4FD0" w:rsidR="00CA21B1" w:rsidRPr="00467BCA" w:rsidRDefault="00CA21B1" w:rsidP="0041018F">
      <w:pPr>
        <w:pStyle w:val="Heading4"/>
        <w:jc w:val="both"/>
        <w:rPr>
          <w:b/>
          <w:bCs/>
        </w:rPr>
      </w:pPr>
      <w:r>
        <w:rPr>
          <w:b/>
          <w:bCs/>
        </w:rPr>
        <w:t xml:space="preserve">What is the timeframe </w:t>
      </w:r>
      <w:r w:rsidR="00816A5F">
        <w:rPr>
          <w:b/>
          <w:bCs/>
        </w:rPr>
        <w:t xml:space="preserve">for </w:t>
      </w:r>
      <w:r w:rsidR="00AC2EAD">
        <w:rPr>
          <w:b/>
          <w:bCs/>
        </w:rPr>
        <w:t>nonfamily-based</w:t>
      </w:r>
      <w:r w:rsidR="00816A5F">
        <w:rPr>
          <w:b/>
          <w:bCs/>
        </w:rPr>
        <w:t xml:space="preserve"> providers </w:t>
      </w:r>
      <w:r>
        <w:rPr>
          <w:b/>
          <w:bCs/>
        </w:rPr>
        <w:t>to lodge a claim?</w:t>
      </w:r>
    </w:p>
    <w:p w14:paraId="2BBE2E66" w14:textId="77777777" w:rsidR="00CA21B1" w:rsidRDefault="00CA21B1" w:rsidP="0041018F">
      <w:pPr>
        <w:jc w:val="both"/>
      </w:pPr>
      <w:r>
        <w:t>Claims for children and young people in r</w:t>
      </w:r>
      <w:r w:rsidRPr="007C6DAB">
        <w:t>esidential care services, supported independent living services and safe houses</w:t>
      </w:r>
      <w:r>
        <w:t xml:space="preserve"> must be lodged with Child Safety for processing as soon as possible to the date of the purchase being made to ensure an accurate record is kept on the available funding for the child or young person. </w:t>
      </w:r>
    </w:p>
    <w:p w14:paraId="3A06B707" w14:textId="77777777" w:rsidR="00CA21B1" w:rsidRDefault="00CA21B1" w:rsidP="0041018F">
      <w:pPr>
        <w:jc w:val="both"/>
      </w:pPr>
    </w:p>
    <w:p w14:paraId="2EA85552" w14:textId="77777777" w:rsidR="00CA21B1" w:rsidRPr="006A71BD" w:rsidRDefault="00CA21B1" w:rsidP="0041018F">
      <w:pPr>
        <w:pStyle w:val="Heading4"/>
        <w:jc w:val="both"/>
        <w:rPr>
          <w:b/>
          <w:bCs/>
        </w:rPr>
      </w:pPr>
      <w:r w:rsidRPr="006A71BD">
        <w:rPr>
          <w:b/>
          <w:bCs/>
        </w:rPr>
        <w:t xml:space="preserve">What is the timeframe for Child Safety to process the claims? </w:t>
      </w:r>
    </w:p>
    <w:p w14:paraId="7E369255" w14:textId="7D412188" w:rsidR="008D4A1E" w:rsidRDefault="00CA21B1" w:rsidP="0041018F">
      <w:pPr>
        <w:jc w:val="both"/>
      </w:pPr>
      <w:r w:rsidRPr="006A71BD">
        <w:t xml:space="preserve">Child Safety will process claims for extracurricular activities as part of the $1500 boost </w:t>
      </w:r>
      <w:r>
        <w:t xml:space="preserve">as soon as possible after the </w:t>
      </w:r>
      <w:r w:rsidRPr="006A71BD">
        <w:t>claims being lodged</w:t>
      </w:r>
      <w:r w:rsidRPr="00DE4BBA">
        <w:t xml:space="preserve"> to ensure an accurate record is kept on the available funding for the child or young person.</w:t>
      </w:r>
    </w:p>
    <w:p w14:paraId="32944B8B" w14:textId="77777777" w:rsidR="009556FD" w:rsidRDefault="009556FD" w:rsidP="0041018F">
      <w:pPr>
        <w:jc w:val="both"/>
      </w:pPr>
    </w:p>
    <w:p w14:paraId="1805CC57" w14:textId="706F2997" w:rsidR="008D4A1E" w:rsidRPr="008D4A1E" w:rsidRDefault="008D4A1E" w:rsidP="0041018F">
      <w:pPr>
        <w:pStyle w:val="Heading4"/>
        <w:jc w:val="both"/>
        <w:rPr>
          <w:b/>
          <w:bCs/>
        </w:rPr>
      </w:pPr>
      <w:r w:rsidRPr="008D4A1E">
        <w:rPr>
          <w:b/>
          <w:bCs/>
        </w:rPr>
        <w:lastRenderedPageBreak/>
        <w:t xml:space="preserve">What happens if a child or young person </w:t>
      </w:r>
      <w:r>
        <w:rPr>
          <w:b/>
          <w:bCs/>
        </w:rPr>
        <w:t xml:space="preserve">uses the boost and </w:t>
      </w:r>
      <w:r w:rsidRPr="008D4A1E">
        <w:rPr>
          <w:b/>
          <w:bCs/>
        </w:rPr>
        <w:t xml:space="preserve">moves to another service provider? </w:t>
      </w:r>
    </w:p>
    <w:p w14:paraId="75BC1877" w14:textId="77777777" w:rsidR="008760C5" w:rsidRDefault="008D4A1E" w:rsidP="0041018F">
      <w:pPr>
        <w:jc w:val="both"/>
      </w:pPr>
      <w:r w:rsidRPr="008D4A1E">
        <w:t xml:space="preserve">The </w:t>
      </w:r>
      <w:r>
        <w:t>$</w:t>
      </w:r>
      <w:r w:rsidRPr="008D4A1E">
        <w:t>1500</w:t>
      </w:r>
      <w:r>
        <w:t xml:space="preserve"> boost is provided per child or young person per annum. If a child or young person has spent part of the boost and moves to another </w:t>
      </w:r>
      <w:r w:rsidR="008760C5">
        <w:t>nonfamily-based</w:t>
      </w:r>
      <w:r>
        <w:t xml:space="preserve"> care provider the new provider will </w:t>
      </w:r>
      <w:r w:rsidR="008760C5">
        <w:t xml:space="preserve">only have to access to the remaining funds for the child or young person. </w:t>
      </w:r>
    </w:p>
    <w:p w14:paraId="304BC48A" w14:textId="048B7D82" w:rsidR="008D4A1E" w:rsidRDefault="008760C5" w:rsidP="0041018F">
      <w:pPr>
        <w:jc w:val="both"/>
      </w:pPr>
      <w:r>
        <w:t xml:space="preserve">If </w:t>
      </w:r>
      <w:r w:rsidR="00AC2EAD">
        <w:t>all</w:t>
      </w:r>
      <w:r w:rsidR="00A002DF">
        <w:t xml:space="preserve"> </w:t>
      </w:r>
      <w:r>
        <w:t>the boost funding has been spent for the child or young person additional</w:t>
      </w:r>
      <w:r w:rsidRPr="008760C5">
        <w:t xml:space="preserve"> funds may be provided at the discretion of Child Safety on a negotiated basis considering the services’ existing funding and normal child related cost budget considerations.</w:t>
      </w:r>
    </w:p>
    <w:p w14:paraId="7BCE5036" w14:textId="77777777" w:rsidR="00A91938" w:rsidRDefault="00A91938" w:rsidP="0041018F">
      <w:pPr>
        <w:jc w:val="both"/>
      </w:pPr>
    </w:p>
    <w:p w14:paraId="2820AE50" w14:textId="0F3F54EC" w:rsidR="00A91938" w:rsidRPr="00AC0011" w:rsidRDefault="00A91938" w:rsidP="0041018F">
      <w:pPr>
        <w:pStyle w:val="Heading4"/>
        <w:jc w:val="both"/>
        <w:rPr>
          <w:b/>
          <w:bCs/>
        </w:rPr>
      </w:pPr>
      <w:r w:rsidRPr="00AC0011">
        <w:rPr>
          <w:b/>
          <w:bCs/>
        </w:rPr>
        <w:t xml:space="preserve">What happens if a child or young person moves from family-based care </w:t>
      </w:r>
      <w:r>
        <w:rPr>
          <w:b/>
          <w:bCs/>
        </w:rPr>
        <w:t>where</w:t>
      </w:r>
      <w:r w:rsidRPr="00AC0011">
        <w:rPr>
          <w:b/>
          <w:bCs/>
        </w:rPr>
        <w:t xml:space="preserve"> they have received the </w:t>
      </w:r>
      <w:r>
        <w:rPr>
          <w:b/>
          <w:bCs/>
        </w:rPr>
        <w:t xml:space="preserve">$1500 </w:t>
      </w:r>
      <w:r w:rsidRPr="00AC0011">
        <w:rPr>
          <w:b/>
          <w:bCs/>
        </w:rPr>
        <w:t>boost</w:t>
      </w:r>
      <w:r>
        <w:rPr>
          <w:b/>
          <w:bCs/>
        </w:rPr>
        <w:t xml:space="preserve"> to nonfamily- based care</w:t>
      </w:r>
      <w:r w:rsidRPr="00AC0011">
        <w:rPr>
          <w:b/>
          <w:bCs/>
        </w:rPr>
        <w:t xml:space="preserve">? </w:t>
      </w:r>
    </w:p>
    <w:p w14:paraId="4704EF37" w14:textId="2B782991" w:rsidR="00A91938" w:rsidRDefault="00A91938" w:rsidP="0041018F">
      <w:pPr>
        <w:jc w:val="both"/>
      </w:pPr>
      <w:r>
        <w:t xml:space="preserve">If a child or young person moves from family-based care where their carer or guardian has received the $1500 to a nonfamily-based care provider the child or young person can still access the $1500 boost. </w:t>
      </w:r>
      <w:r w:rsidRPr="00AC0011">
        <w:t xml:space="preserve">Before purchasing any goods or service for extracurricular activities the nonfamily-based care provider must contact Child Safety to confirm </w:t>
      </w:r>
      <w:r>
        <w:t>how much funding is available</w:t>
      </w:r>
      <w:r w:rsidRPr="00AC0011">
        <w:t xml:space="preserve">.  </w:t>
      </w:r>
    </w:p>
    <w:p w14:paraId="5840B4E7" w14:textId="77777777" w:rsidR="008760C5" w:rsidRDefault="008760C5" w:rsidP="0041018F">
      <w:pPr>
        <w:jc w:val="both"/>
      </w:pPr>
    </w:p>
    <w:p w14:paraId="667248BA" w14:textId="397920E7" w:rsidR="008760C5" w:rsidRPr="008760C5" w:rsidRDefault="008760C5" w:rsidP="0041018F">
      <w:pPr>
        <w:pStyle w:val="Heading4"/>
        <w:jc w:val="both"/>
        <w:rPr>
          <w:b/>
          <w:bCs/>
        </w:rPr>
      </w:pPr>
      <w:r w:rsidRPr="008760C5">
        <w:rPr>
          <w:b/>
          <w:bCs/>
        </w:rPr>
        <w:t xml:space="preserve">How will nonfamily- based care providers know how much funding is available? </w:t>
      </w:r>
    </w:p>
    <w:p w14:paraId="4AED1C43" w14:textId="6BFBC7D3" w:rsidR="008760C5" w:rsidRDefault="008760C5" w:rsidP="0041018F">
      <w:pPr>
        <w:jc w:val="both"/>
        <w:rPr>
          <w:i/>
          <w:iCs/>
        </w:rPr>
      </w:pPr>
      <w:r w:rsidRPr="008760C5">
        <w:t>Before p</w:t>
      </w:r>
      <w:r>
        <w:t>urchasing any goods or service</w:t>
      </w:r>
      <w:r w:rsidR="00A002DF">
        <w:t>s</w:t>
      </w:r>
      <w:r>
        <w:t xml:space="preserve"> for extracurricular activities </w:t>
      </w:r>
      <w:r w:rsidRPr="008760C5">
        <w:t xml:space="preserve">the nonfamily-based care provider </w:t>
      </w:r>
      <w:r>
        <w:t xml:space="preserve">must </w:t>
      </w:r>
      <w:r w:rsidRPr="008760C5">
        <w:t xml:space="preserve">contact </w:t>
      </w:r>
      <w:r>
        <w:t xml:space="preserve">Child Safety </w:t>
      </w:r>
      <w:r w:rsidRPr="008760C5">
        <w:t>to confirm whether the child or young person may have previously accessed the $1500 with a previous nonfamily-based care provider during the financial year.</w:t>
      </w:r>
      <w:r>
        <w:rPr>
          <w:iCs/>
        </w:rPr>
        <w:t xml:space="preserve">  Child Safety will advise how much funding is available to be spend. </w:t>
      </w:r>
    </w:p>
    <w:p w14:paraId="3A0681B5" w14:textId="05620CE3" w:rsidR="006A71BD" w:rsidRPr="008D4A1E" w:rsidRDefault="006A71BD" w:rsidP="0041018F">
      <w:pPr>
        <w:jc w:val="both"/>
      </w:pPr>
    </w:p>
    <w:p w14:paraId="5DBFBCC4" w14:textId="1A297EB0" w:rsidR="00AA05C3" w:rsidRPr="00AA05C3" w:rsidRDefault="00AA05C3" w:rsidP="0041018F">
      <w:pPr>
        <w:jc w:val="both"/>
        <w:rPr>
          <w:b/>
          <w:bCs/>
          <w:color w:val="26555C"/>
          <w:sz w:val="24"/>
          <w:szCs w:val="28"/>
        </w:rPr>
      </w:pPr>
      <w:r w:rsidRPr="00AA05C3">
        <w:rPr>
          <w:b/>
          <w:bCs/>
          <w:color w:val="26555C"/>
          <w:sz w:val="24"/>
          <w:szCs w:val="28"/>
        </w:rPr>
        <w:t>What if the cost of extracurricular activities is more than $1500</w:t>
      </w:r>
      <w:r>
        <w:rPr>
          <w:b/>
          <w:bCs/>
          <w:color w:val="26555C"/>
          <w:sz w:val="24"/>
          <w:szCs w:val="28"/>
        </w:rPr>
        <w:t xml:space="preserve"> annually</w:t>
      </w:r>
      <w:r w:rsidRPr="00AA05C3">
        <w:rPr>
          <w:b/>
          <w:bCs/>
          <w:color w:val="26555C"/>
          <w:sz w:val="24"/>
          <w:szCs w:val="28"/>
        </w:rPr>
        <w:t>?</w:t>
      </w:r>
    </w:p>
    <w:p w14:paraId="1E45D58B" w14:textId="2382E5AF" w:rsidR="00AA05C3" w:rsidRDefault="00AA05C3" w:rsidP="0041018F">
      <w:pPr>
        <w:jc w:val="both"/>
      </w:pPr>
      <w:r>
        <w:t xml:space="preserve">For </w:t>
      </w:r>
      <w:r w:rsidR="007938AE">
        <w:t>nonfamily-based</w:t>
      </w:r>
      <w:r w:rsidR="00A31DF0">
        <w:t xml:space="preserve"> care</w:t>
      </w:r>
      <w:r w:rsidR="006C2167">
        <w:t>,</w:t>
      </w:r>
      <w:r>
        <w:t xml:space="preserve"> additional funds may be provided at the discretion of Child Safety on a negotiated basis</w:t>
      </w:r>
      <w:r w:rsidR="006C2167">
        <w:t xml:space="preserve"> </w:t>
      </w:r>
      <w:r w:rsidR="007C6DAB">
        <w:t>considering</w:t>
      </w:r>
      <w:r w:rsidR="006C2167">
        <w:t xml:space="preserve"> the services’ existing funding</w:t>
      </w:r>
      <w:r w:rsidR="00C52C08">
        <w:t xml:space="preserve"> and normal child related cost budget considerations</w:t>
      </w:r>
      <w:r w:rsidR="006C2167">
        <w:t xml:space="preserve">. </w:t>
      </w:r>
    </w:p>
    <w:p w14:paraId="759D688B" w14:textId="77777777" w:rsidR="007938AE" w:rsidRDefault="007938AE" w:rsidP="0041018F">
      <w:pPr>
        <w:jc w:val="both"/>
      </w:pPr>
    </w:p>
    <w:p w14:paraId="09D31A95" w14:textId="050CE56F" w:rsidR="00AA05C3" w:rsidRPr="00D80A86" w:rsidRDefault="00D80A86" w:rsidP="0041018F">
      <w:pPr>
        <w:jc w:val="both"/>
        <w:rPr>
          <w:b/>
          <w:bCs/>
          <w:color w:val="26555C"/>
          <w:sz w:val="24"/>
          <w:szCs w:val="28"/>
        </w:rPr>
      </w:pPr>
      <w:r w:rsidRPr="00D80A86">
        <w:rPr>
          <w:b/>
          <w:bCs/>
          <w:color w:val="26555C"/>
          <w:sz w:val="24"/>
          <w:szCs w:val="28"/>
        </w:rPr>
        <w:t xml:space="preserve">Will the extracurricular activities be included </w:t>
      </w:r>
      <w:r>
        <w:rPr>
          <w:b/>
          <w:bCs/>
          <w:color w:val="26555C"/>
          <w:sz w:val="24"/>
          <w:szCs w:val="28"/>
        </w:rPr>
        <w:t xml:space="preserve">in the </w:t>
      </w:r>
      <w:r w:rsidRPr="00D80A86">
        <w:rPr>
          <w:b/>
          <w:bCs/>
          <w:color w:val="26555C"/>
          <w:sz w:val="24"/>
          <w:szCs w:val="28"/>
        </w:rPr>
        <w:t>case planning</w:t>
      </w:r>
      <w:r>
        <w:rPr>
          <w:b/>
          <w:bCs/>
          <w:color w:val="26555C"/>
          <w:sz w:val="24"/>
          <w:szCs w:val="28"/>
        </w:rPr>
        <w:t xml:space="preserve"> process</w:t>
      </w:r>
      <w:r w:rsidRPr="00D80A86">
        <w:rPr>
          <w:b/>
          <w:bCs/>
          <w:color w:val="26555C"/>
          <w:sz w:val="24"/>
          <w:szCs w:val="28"/>
        </w:rPr>
        <w:t>?</w:t>
      </w:r>
    </w:p>
    <w:p w14:paraId="1502C467" w14:textId="77777777" w:rsidR="00820C94" w:rsidRDefault="00D80A86" w:rsidP="0041018F">
      <w:pPr>
        <w:jc w:val="both"/>
      </w:pPr>
      <w:r>
        <w:t xml:space="preserve">Yes. </w:t>
      </w:r>
    </w:p>
    <w:p w14:paraId="02B2B7E5" w14:textId="27D05FE3" w:rsidR="00AA05C3" w:rsidRDefault="00AA05C3" w:rsidP="0041018F">
      <w:pPr>
        <w:jc w:val="both"/>
        <w:rPr>
          <w:rFonts w:cs="Arial"/>
        </w:rPr>
      </w:pPr>
      <w:r w:rsidRPr="00AE3CEF">
        <w:rPr>
          <w:rFonts w:cs="Arial"/>
        </w:rPr>
        <w:t xml:space="preserve">Carers and care services will work together with Child Safety Officers as part of case planning, capturing the areas of interest to a child </w:t>
      </w:r>
      <w:r w:rsidR="002A4C11">
        <w:rPr>
          <w:rFonts w:cs="Arial"/>
        </w:rPr>
        <w:t xml:space="preserve">or young person </w:t>
      </w:r>
      <w:r w:rsidRPr="00AE3CEF">
        <w:rPr>
          <w:rFonts w:cs="Arial"/>
        </w:rPr>
        <w:t>for enrolment in their chosen activity</w:t>
      </w:r>
      <w:r w:rsidR="00AC0677">
        <w:rPr>
          <w:rFonts w:cs="Arial"/>
        </w:rPr>
        <w:t>.</w:t>
      </w:r>
    </w:p>
    <w:p w14:paraId="78915A0E" w14:textId="77777777" w:rsidR="00AA05C3" w:rsidRDefault="00AA05C3" w:rsidP="0041018F">
      <w:pPr>
        <w:jc w:val="both"/>
      </w:pPr>
    </w:p>
    <w:p w14:paraId="32C032FB" w14:textId="77777777" w:rsidR="00D80A86" w:rsidRPr="00D80A86" w:rsidRDefault="00D80A86" w:rsidP="0041018F">
      <w:pPr>
        <w:jc w:val="both"/>
        <w:rPr>
          <w:b/>
          <w:bCs/>
          <w:color w:val="26555C"/>
          <w:sz w:val="24"/>
          <w:szCs w:val="28"/>
        </w:rPr>
      </w:pPr>
      <w:r w:rsidRPr="00D80A86">
        <w:rPr>
          <w:b/>
          <w:bCs/>
          <w:color w:val="26555C"/>
          <w:sz w:val="24"/>
          <w:szCs w:val="28"/>
        </w:rPr>
        <w:t>Will the child and young person views be sought?</w:t>
      </w:r>
    </w:p>
    <w:p w14:paraId="513F1139" w14:textId="77777777" w:rsidR="00820C94" w:rsidRDefault="00D80A86" w:rsidP="0041018F">
      <w:pPr>
        <w:jc w:val="both"/>
      </w:pPr>
      <w:r>
        <w:t xml:space="preserve">Yes. </w:t>
      </w:r>
      <w:bookmarkStart w:id="12" w:name="_Hlk183514109"/>
    </w:p>
    <w:p w14:paraId="291E8D2D" w14:textId="3DAE6408" w:rsidR="00D80A86" w:rsidRDefault="00AA1796" w:rsidP="0041018F">
      <w:pPr>
        <w:jc w:val="both"/>
        <w:rPr>
          <w:bCs/>
        </w:rPr>
      </w:pPr>
      <w:r w:rsidRPr="003B6BA3">
        <w:rPr>
          <w:bCs/>
          <w:szCs w:val="22"/>
        </w:rPr>
        <w:t>The child or young person’s views and aspiration</w:t>
      </w:r>
      <w:r w:rsidR="009F60EC">
        <w:rPr>
          <w:bCs/>
          <w:szCs w:val="22"/>
        </w:rPr>
        <w:t>s</w:t>
      </w:r>
      <w:r w:rsidRPr="003B6BA3">
        <w:rPr>
          <w:bCs/>
          <w:szCs w:val="22"/>
        </w:rPr>
        <w:t xml:space="preserve"> will guide decisions </w:t>
      </w:r>
      <w:r w:rsidR="003260FE" w:rsidRPr="003B6BA3">
        <w:rPr>
          <w:bCs/>
          <w:szCs w:val="22"/>
        </w:rPr>
        <w:t xml:space="preserve">about </w:t>
      </w:r>
      <w:r w:rsidRPr="003B6BA3">
        <w:rPr>
          <w:bCs/>
          <w:szCs w:val="22"/>
        </w:rPr>
        <w:t>what extracurricular activities are important to them</w:t>
      </w:r>
      <w:r w:rsidRPr="00AA1796">
        <w:rPr>
          <w:bCs/>
        </w:rPr>
        <w:t xml:space="preserve">. </w:t>
      </w:r>
      <w:bookmarkStart w:id="13" w:name="_Hlk188271659"/>
    </w:p>
    <w:p w14:paraId="293EEB71" w14:textId="3CAD2E43" w:rsidR="00AA1796" w:rsidRDefault="00C225A7" w:rsidP="0041018F">
      <w:pPr>
        <w:jc w:val="both"/>
        <w:rPr>
          <w:bCs/>
        </w:rPr>
      </w:pPr>
      <w:r>
        <w:rPr>
          <w:bCs/>
        </w:rPr>
        <w:t>C</w:t>
      </w:r>
      <w:r w:rsidRPr="00467BCA">
        <w:t>arers</w:t>
      </w:r>
      <w:r>
        <w:t>, guardians</w:t>
      </w:r>
      <w:r w:rsidRPr="00467BCA">
        <w:t xml:space="preserve"> and care workers</w:t>
      </w:r>
      <w:r>
        <w:rPr>
          <w:bCs/>
        </w:rPr>
        <w:t xml:space="preserve"> </w:t>
      </w:r>
      <w:bookmarkEnd w:id="13"/>
      <w:r w:rsidR="00AA1796">
        <w:rPr>
          <w:bCs/>
        </w:rPr>
        <w:t xml:space="preserve">will </w:t>
      </w:r>
      <w:r w:rsidR="00AA1796" w:rsidRPr="00AA1796">
        <w:rPr>
          <w:bCs/>
        </w:rPr>
        <w:t>actively listen to and engage children and young people about their goals and help them pursue their aspirations, including undertaking extracurricular activities.</w:t>
      </w:r>
    </w:p>
    <w:bookmarkEnd w:id="12"/>
    <w:p w14:paraId="3EA060C2" w14:textId="77777777" w:rsidR="00124486" w:rsidRDefault="00124486">
      <w:pPr>
        <w:spacing w:after="0"/>
        <w:rPr>
          <w:b/>
          <w:bCs/>
          <w:color w:val="26555C"/>
          <w:sz w:val="24"/>
          <w:szCs w:val="28"/>
        </w:rPr>
      </w:pPr>
      <w:r>
        <w:rPr>
          <w:b/>
          <w:bCs/>
          <w:color w:val="26555C"/>
          <w:sz w:val="24"/>
          <w:szCs w:val="28"/>
        </w:rPr>
        <w:br w:type="page"/>
      </w:r>
    </w:p>
    <w:p w14:paraId="12743F98" w14:textId="680C658A" w:rsidR="00DF4244" w:rsidRDefault="00DF4244" w:rsidP="0041018F">
      <w:pPr>
        <w:jc w:val="both"/>
        <w:rPr>
          <w:b/>
          <w:bCs/>
          <w:color w:val="26555C"/>
          <w:sz w:val="24"/>
          <w:szCs w:val="28"/>
        </w:rPr>
      </w:pPr>
      <w:r>
        <w:rPr>
          <w:b/>
          <w:bCs/>
          <w:color w:val="26555C"/>
          <w:sz w:val="24"/>
          <w:szCs w:val="28"/>
        </w:rPr>
        <w:lastRenderedPageBreak/>
        <w:t xml:space="preserve">Where can </w:t>
      </w:r>
      <w:r w:rsidR="00294536">
        <w:rPr>
          <w:b/>
          <w:bCs/>
          <w:color w:val="26555C"/>
          <w:sz w:val="24"/>
          <w:szCs w:val="28"/>
        </w:rPr>
        <w:t xml:space="preserve">I find </w:t>
      </w:r>
      <w:r>
        <w:rPr>
          <w:b/>
          <w:bCs/>
          <w:color w:val="26555C"/>
          <w:sz w:val="24"/>
          <w:szCs w:val="28"/>
        </w:rPr>
        <w:t>information on local sports and recreation activities</w:t>
      </w:r>
      <w:r w:rsidR="00294536">
        <w:rPr>
          <w:b/>
          <w:bCs/>
          <w:color w:val="26555C"/>
          <w:sz w:val="24"/>
          <w:szCs w:val="28"/>
        </w:rPr>
        <w:t xml:space="preserve"> to enrol a child or young person</w:t>
      </w:r>
      <w:r>
        <w:rPr>
          <w:b/>
          <w:bCs/>
          <w:color w:val="26555C"/>
          <w:sz w:val="24"/>
          <w:szCs w:val="28"/>
        </w:rPr>
        <w:t xml:space="preserve">? </w:t>
      </w:r>
    </w:p>
    <w:p w14:paraId="58F4413B" w14:textId="74AD6B22" w:rsidR="00335C4E" w:rsidRPr="00335C4E" w:rsidRDefault="00294536" w:rsidP="00335C4E">
      <w:pPr>
        <w:jc w:val="both"/>
      </w:pPr>
      <w:r w:rsidRPr="00156664">
        <w:t xml:space="preserve">The </w:t>
      </w:r>
      <w:hyperlink r:id="rId10" w:history="1">
        <w:r w:rsidR="00335C4E" w:rsidRPr="00335C4E">
          <w:rPr>
            <w:rStyle w:val="Hyperlink"/>
          </w:rPr>
          <w:t>Play On! Queensland | Department of Sport, Racing and Olympic and Paralympic Games</w:t>
        </w:r>
      </w:hyperlink>
    </w:p>
    <w:p w14:paraId="75EF7E2D" w14:textId="03F4930F" w:rsidR="00294536" w:rsidRDefault="00294536" w:rsidP="00335C4E">
      <w:pPr>
        <w:jc w:val="both"/>
        <w:rPr>
          <w:szCs w:val="22"/>
        </w:rPr>
      </w:pPr>
      <w:r w:rsidRPr="00156664">
        <w:t xml:space="preserve">provides the ability to search a list of approved activity providers that accept fair play vouchers by location. </w:t>
      </w:r>
      <w:r w:rsidR="00DF4244" w:rsidRPr="00156664">
        <w:t xml:space="preserve"> </w:t>
      </w:r>
      <w:r w:rsidRPr="00156664">
        <w:t>Additionally, most councils list</w:t>
      </w:r>
      <w:r w:rsidRPr="00156664">
        <w:rPr>
          <w:sz w:val="24"/>
        </w:rPr>
        <w:t xml:space="preserve"> </w:t>
      </w:r>
      <w:r w:rsidRPr="00294536">
        <w:rPr>
          <w:szCs w:val="22"/>
        </w:rPr>
        <w:t>their sport and recreational facilities, and some also have community directory lists that incorporate sporting club</w:t>
      </w:r>
      <w:r w:rsidR="00DF3CDC">
        <w:rPr>
          <w:szCs w:val="22"/>
        </w:rPr>
        <w:t xml:space="preserve">. </w:t>
      </w:r>
    </w:p>
    <w:p w14:paraId="28107378" w14:textId="77777777" w:rsidR="00DF4244" w:rsidRDefault="00DF4244" w:rsidP="0041018F">
      <w:pPr>
        <w:jc w:val="both"/>
        <w:rPr>
          <w:b/>
          <w:bCs/>
          <w:color w:val="26555C"/>
          <w:sz w:val="24"/>
          <w:szCs w:val="28"/>
        </w:rPr>
      </w:pPr>
    </w:p>
    <w:p w14:paraId="459344C1" w14:textId="05491A90" w:rsidR="00073EFB" w:rsidRPr="00C51CA3" w:rsidRDefault="00073EFB" w:rsidP="0041018F">
      <w:pPr>
        <w:jc w:val="both"/>
        <w:rPr>
          <w:b/>
          <w:bCs/>
          <w:color w:val="26555C"/>
          <w:sz w:val="24"/>
          <w:szCs w:val="28"/>
        </w:rPr>
      </w:pPr>
      <w:r>
        <w:rPr>
          <w:b/>
          <w:bCs/>
          <w:color w:val="26555C"/>
          <w:sz w:val="24"/>
          <w:szCs w:val="28"/>
        </w:rPr>
        <w:t>How will the extracurricular activities be recorded?</w:t>
      </w:r>
    </w:p>
    <w:p w14:paraId="78AC5BF0" w14:textId="46D69EA9" w:rsidR="00D272DF" w:rsidRPr="00D272DF" w:rsidRDefault="00D272DF" w:rsidP="0041018F">
      <w:pPr>
        <w:jc w:val="both"/>
        <w:rPr>
          <w:bCs/>
          <w:iCs/>
        </w:rPr>
      </w:pPr>
      <w:r w:rsidRPr="00D272DF">
        <w:rPr>
          <w:bCs/>
          <w:iCs/>
        </w:rPr>
        <w:t>Discuss the child or young person’s participation in extra-curricular activities, including the need for additional financial support, during the placement meeting and document the agreed, planned arrangements that will be covered by the boost payment in the placement agreement.</w:t>
      </w:r>
    </w:p>
    <w:p w14:paraId="07500259" w14:textId="29462C78" w:rsidR="00D272DF" w:rsidRPr="00D272DF" w:rsidRDefault="00D272DF" w:rsidP="0041018F">
      <w:pPr>
        <w:jc w:val="both"/>
        <w:rPr>
          <w:bCs/>
          <w:iCs/>
        </w:rPr>
      </w:pPr>
      <w:r w:rsidRPr="00D272DF">
        <w:rPr>
          <w:bCs/>
          <w:iCs/>
        </w:rPr>
        <w:t xml:space="preserve">For a child or young person with a long-term or permanent guardian, there is no requirement to document the planned use of the boost payment. </w:t>
      </w:r>
    </w:p>
    <w:p w14:paraId="3DC176E1" w14:textId="17615E7E" w:rsidR="00073EFB" w:rsidRDefault="00D272DF" w:rsidP="0041018F">
      <w:pPr>
        <w:jc w:val="both"/>
        <w:rPr>
          <w:bCs/>
        </w:rPr>
      </w:pPr>
      <w:r>
        <w:rPr>
          <w:bCs/>
        </w:rPr>
        <w:t>T</w:t>
      </w:r>
      <w:r w:rsidR="00073EFB">
        <w:rPr>
          <w:bCs/>
        </w:rPr>
        <w:t xml:space="preserve">he child related cost payments for </w:t>
      </w:r>
      <w:r w:rsidR="00E71980">
        <w:rPr>
          <w:bCs/>
        </w:rPr>
        <w:t>nonfamily-based</w:t>
      </w:r>
      <w:r w:rsidR="00073EFB">
        <w:rPr>
          <w:bCs/>
        </w:rPr>
        <w:t xml:space="preserve"> care will </w:t>
      </w:r>
      <w:r w:rsidR="00357C81">
        <w:rPr>
          <w:bCs/>
        </w:rPr>
        <w:t xml:space="preserve">be copied directly from the application form submitted and </w:t>
      </w:r>
      <w:r w:rsidR="00A50E08">
        <w:rPr>
          <w:bCs/>
        </w:rPr>
        <w:t xml:space="preserve">recorded </w:t>
      </w:r>
      <w:r w:rsidR="00073EFB" w:rsidRPr="00C51CA3">
        <w:rPr>
          <w:bCs/>
        </w:rPr>
        <w:t>in the SAP line items descriptor</w:t>
      </w:r>
      <w:r w:rsidR="00A50E08">
        <w:rPr>
          <w:bCs/>
        </w:rPr>
        <w:t xml:space="preserve"> exactly as it appears in the application form</w:t>
      </w:r>
      <w:r w:rsidR="00357C81">
        <w:rPr>
          <w:bCs/>
        </w:rPr>
        <w:t>.</w:t>
      </w:r>
      <w:r w:rsidR="00073EFB" w:rsidRPr="00C51CA3">
        <w:rPr>
          <w:bCs/>
        </w:rPr>
        <w:t xml:space="preserve"> </w:t>
      </w:r>
      <w:r w:rsidR="00A50E08">
        <w:rPr>
          <w:bCs/>
        </w:rPr>
        <w:t>Please refer to the example below.</w:t>
      </w:r>
    </w:p>
    <w:p w14:paraId="50BBC49D" w14:textId="77777777" w:rsidR="005C1A26" w:rsidRDefault="005C1A26" w:rsidP="0041018F">
      <w:pPr>
        <w:jc w:val="both"/>
        <w:rPr>
          <w:bCs/>
        </w:rPr>
      </w:pPr>
    </w:p>
    <w:p w14:paraId="048F230C" w14:textId="13582F64" w:rsidR="00A50E08" w:rsidRPr="00A50E08" w:rsidRDefault="00A50E08" w:rsidP="0041018F">
      <w:pPr>
        <w:jc w:val="both"/>
        <w:rPr>
          <w:b/>
        </w:rPr>
      </w:pPr>
      <w:bookmarkStart w:id="14" w:name="_Hlk199844719"/>
      <w:r w:rsidRPr="00A50E08">
        <w:rPr>
          <w:b/>
        </w:rPr>
        <w:t>How it appears in the application form</w:t>
      </w:r>
    </w:p>
    <w:tbl>
      <w:tblPr>
        <w:tblStyle w:val="TableGrid1"/>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6EB"/>
        <w:tblLook w:val="04A0" w:firstRow="1" w:lastRow="0" w:firstColumn="1" w:lastColumn="0" w:noHBand="0" w:noVBand="1"/>
      </w:tblPr>
      <w:tblGrid>
        <w:gridCol w:w="1242"/>
        <w:gridCol w:w="296"/>
        <w:gridCol w:w="1634"/>
        <w:gridCol w:w="296"/>
        <w:gridCol w:w="1930"/>
        <w:gridCol w:w="296"/>
        <w:gridCol w:w="3118"/>
        <w:gridCol w:w="297"/>
        <w:gridCol w:w="1097"/>
      </w:tblGrid>
      <w:tr w:rsidR="00357C81" w:rsidRPr="00357C81" w14:paraId="40F75768" w14:textId="77777777" w:rsidTr="00A50E08">
        <w:trPr>
          <w:trHeight w:val="819"/>
        </w:trPr>
        <w:tc>
          <w:tcPr>
            <w:tcW w:w="1242" w:type="dxa"/>
            <w:tcBorders>
              <w:top w:val="single" w:sz="4" w:space="0" w:color="FFFFFF"/>
              <w:left w:val="single" w:sz="4" w:space="0" w:color="FFFFFF"/>
              <w:bottom w:val="single" w:sz="4" w:space="0" w:color="FFFFFF"/>
              <w:right w:val="single" w:sz="4" w:space="0" w:color="FFFFFF"/>
            </w:tcBorders>
            <w:shd w:val="clear" w:color="auto" w:fill="8496B0"/>
            <w:vAlign w:val="center"/>
          </w:tcPr>
          <w:bookmarkEnd w:id="14"/>
          <w:p w14:paraId="61469F27" w14:textId="77777777" w:rsidR="00357C81" w:rsidRPr="00357C81" w:rsidRDefault="00357C81" w:rsidP="00357C81">
            <w:pPr>
              <w:spacing w:after="0"/>
              <w:jc w:val="center"/>
              <w:rPr>
                <w:rFonts w:ascii="Calibri" w:hAnsi="Calibri" w:cs="Calibri"/>
                <w:color w:val="FFFFFF"/>
                <w:sz w:val="20"/>
                <w:szCs w:val="20"/>
                <w:lang w:eastAsia="en-US"/>
              </w:rPr>
            </w:pPr>
            <w:r w:rsidRPr="00357C81">
              <w:rPr>
                <w:rFonts w:ascii="Calibri" w:hAnsi="Calibri" w:cs="Calibri"/>
                <w:color w:val="FFFFFF"/>
                <w:sz w:val="20"/>
                <w:szCs w:val="20"/>
                <w:lang w:eastAsia="en-US"/>
              </w:rPr>
              <w:t>CHILD DETAILS</w:t>
            </w:r>
          </w:p>
          <w:p w14:paraId="6D548317" w14:textId="77777777" w:rsidR="00357C81" w:rsidRPr="00357C81" w:rsidRDefault="00357C81" w:rsidP="00357C81">
            <w:pPr>
              <w:spacing w:after="0"/>
              <w:jc w:val="center"/>
              <w:rPr>
                <w:rFonts w:ascii="Calibri" w:hAnsi="Calibri" w:cs="Calibri"/>
                <w:i/>
                <w:iCs/>
                <w:color w:val="FFFFFF"/>
                <w:sz w:val="20"/>
                <w:szCs w:val="20"/>
                <w:lang w:eastAsia="en-US"/>
              </w:rPr>
            </w:pPr>
            <w:r w:rsidRPr="00357C81">
              <w:rPr>
                <w:rFonts w:ascii="Calibri" w:hAnsi="Calibri" w:cs="Calibri"/>
                <w:i/>
                <w:iCs/>
                <w:color w:val="FFFFFF"/>
                <w:sz w:val="14"/>
                <w:szCs w:val="14"/>
                <w:lang w:eastAsia="en-US"/>
              </w:rPr>
              <w:t>(first name, last name initial)</w:t>
            </w:r>
          </w:p>
        </w:tc>
        <w:tc>
          <w:tcPr>
            <w:tcW w:w="296" w:type="dxa"/>
            <w:tcBorders>
              <w:top w:val="single" w:sz="4" w:space="0" w:color="FFFFFF"/>
              <w:left w:val="single" w:sz="4" w:space="0" w:color="FFFFFF"/>
              <w:bottom w:val="single" w:sz="4" w:space="0" w:color="FFFFFF"/>
              <w:right w:val="single" w:sz="4" w:space="0" w:color="FFFFFF"/>
            </w:tcBorders>
            <w:shd w:val="clear" w:color="auto" w:fill="8496B0"/>
            <w:vAlign w:val="center"/>
          </w:tcPr>
          <w:p w14:paraId="5E360715" w14:textId="77777777" w:rsidR="00357C81" w:rsidRPr="00357C81" w:rsidRDefault="00357C81" w:rsidP="00357C81">
            <w:pPr>
              <w:spacing w:after="0"/>
              <w:jc w:val="center"/>
              <w:rPr>
                <w:rFonts w:ascii="Calibri" w:hAnsi="Calibri" w:cs="Calibri"/>
                <w:color w:val="FFFFFF"/>
                <w:sz w:val="20"/>
                <w:szCs w:val="20"/>
                <w:lang w:eastAsia="en-US"/>
              </w:rPr>
            </w:pPr>
          </w:p>
        </w:tc>
        <w:tc>
          <w:tcPr>
            <w:tcW w:w="1634" w:type="dxa"/>
            <w:tcBorders>
              <w:top w:val="single" w:sz="4" w:space="0" w:color="FFFFFF"/>
              <w:left w:val="single" w:sz="4" w:space="0" w:color="FFFFFF"/>
              <w:bottom w:val="single" w:sz="4" w:space="0" w:color="FFFFFF"/>
              <w:right w:val="single" w:sz="4" w:space="0" w:color="FFFFFF"/>
            </w:tcBorders>
            <w:shd w:val="clear" w:color="auto" w:fill="8496B0"/>
            <w:vAlign w:val="center"/>
          </w:tcPr>
          <w:p w14:paraId="59BAA90A" w14:textId="77777777" w:rsidR="00357C81" w:rsidRPr="00357C81" w:rsidRDefault="00357C81" w:rsidP="00357C81">
            <w:pPr>
              <w:spacing w:after="0"/>
              <w:jc w:val="center"/>
              <w:rPr>
                <w:rFonts w:ascii="Calibri" w:hAnsi="Calibri" w:cs="Calibri"/>
                <w:color w:val="FFFFFF"/>
                <w:sz w:val="20"/>
                <w:szCs w:val="20"/>
                <w:lang w:eastAsia="en-US"/>
              </w:rPr>
            </w:pPr>
            <w:r w:rsidRPr="00357C81">
              <w:rPr>
                <w:rFonts w:ascii="Calibri" w:hAnsi="Calibri" w:cs="Calibri"/>
                <w:color w:val="FFFFFF"/>
                <w:sz w:val="20"/>
                <w:szCs w:val="20"/>
                <w:lang w:eastAsia="en-US"/>
              </w:rPr>
              <w:t>ACTIVITY</w:t>
            </w:r>
          </w:p>
        </w:tc>
        <w:tc>
          <w:tcPr>
            <w:tcW w:w="296" w:type="dxa"/>
            <w:tcBorders>
              <w:top w:val="single" w:sz="4" w:space="0" w:color="FFFFFF"/>
              <w:left w:val="single" w:sz="4" w:space="0" w:color="FFFFFF"/>
              <w:bottom w:val="single" w:sz="4" w:space="0" w:color="FFFFFF"/>
              <w:right w:val="single" w:sz="4" w:space="0" w:color="FFFFFF"/>
            </w:tcBorders>
            <w:shd w:val="clear" w:color="auto" w:fill="8496B0"/>
            <w:vAlign w:val="center"/>
          </w:tcPr>
          <w:p w14:paraId="68F3BA80" w14:textId="77777777" w:rsidR="00357C81" w:rsidRPr="00357C81" w:rsidRDefault="00357C81" w:rsidP="00357C81">
            <w:pPr>
              <w:spacing w:after="0"/>
              <w:jc w:val="center"/>
              <w:rPr>
                <w:rFonts w:ascii="Calibri" w:hAnsi="Calibri" w:cs="Calibri"/>
                <w:color w:val="FFFFFF"/>
                <w:sz w:val="20"/>
                <w:szCs w:val="20"/>
                <w:lang w:eastAsia="en-US"/>
              </w:rPr>
            </w:pPr>
          </w:p>
        </w:tc>
        <w:tc>
          <w:tcPr>
            <w:tcW w:w="1930" w:type="dxa"/>
            <w:tcBorders>
              <w:top w:val="single" w:sz="4" w:space="0" w:color="FFFFFF"/>
              <w:left w:val="single" w:sz="4" w:space="0" w:color="FFFFFF"/>
              <w:bottom w:val="single" w:sz="4" w:space="0" w:color="FFFFFF"/>
              <w:right w:val="single" w:sz="4" w:space="0" w:color="FFFFFF"/>
            </w:tcBorders>
            <w:shd w:val="clear" w:color="auto" w:fill="8496B0"/>
            <w:vAlign w:val="center"/>
          </w:tcPr>
          <w:p w14:paraId="6946A07B" w14:textId="77777777" w:rsidR="00357C81" w:rsidRPr="00357C81" w:rsidRDefault="00357C81" w:rsidP="00357C81">
            <w:pPr>
              <w:spacing w:after="0"/>
              <w:jc w:val="center"/>
              <w:rPr>
                <w:rFonts w:ascii="Calibri" w:hAnsi="Calibri" w:cs="Calibri"/>
                <w:color w:val="FFFFFF"/>
                <w:sz w:val="20"/>
                <w:szCs w:val="20"/>
                <w:lang w:eastAsia="en-US"/>
              </w:rPr>
            </w:pPr>
            <w:r w:rsidRPr="00357C81">
              <w:rPr>
                <w:rFonts w:ascii="Calibri" w:hAnsi="Calibri" w:cs="Calibri"/>
                <w:color w:val="FFFFFF"/>
                <w:sz w:val="20"/>
                <w:szCs w:val="20"/>
                <w:lang w:eastAsia="en-US"/>
              </w:rPr>
              <w:t>ACTIVITY TYPE</w:t>
            </w:r>
          </w:p>
          <w:p w14:paraId="558782AC" w14:textId="77777777" w:rsidR="00357C81" w:rsidRPr="00357C81" w:rsidRDefault="00357C81" w:rsidP="00357C81">
            <w:pPr>
              <w:spacing w:after="0"/>
              <w:jc w:val="center"/>
              <w:rPr>
                <w:rFonts w:ascii="Calibri" w:hAnsi="Calibri" w:cs="Calibri"/>
                <w:i/>
                <w:iCs/>
                <w:color w:val="FFFFFF"/>
                <w:sz w:val="20"/>
                <w:szCs w:val="20"/>
                <w:lang w:eastAsia="en-US"/>
              </w:rPr>
            </w:pPr>
            <w:r w:rsidRPr="00357C81">
              <w:rPr>
                <w:rFonts w:ascii="Calibri" w:hAnsi="Calibri" w:cs="Calibri"/>
                <w:i/>
                <w:iCs/>
                <w:color w:val="FFFFFF"/>
                <w:sz w:val="14"/>
                <w:szCs w:val="14"/>
                <w:lang w:eastAsia="en-US"/>
              </w:rPr>
              <w:t>(Enrolment = Enr, Equipment = Equip)</w:t>
            </w:r>
          </w:p>
        </w:tc>
        <w:tc>
          <w:tcPr>
            <w:tcW w:w="296" w:type="dxa"/>
            <w:tcBorders>
              <w:top w:val="single" w:sz="4" w:space="0" w:color="FFFFFF"/>
              <w:left w:val="single" w:sz="4" w:space="0" w:color="FFFFFF"/>
              <w:bottom w:val="single" w:sz="4" w:space="0" w:color="FFFFFF"/>
              <w:right w:val="single" w:sz="4" w:space="0" w:color="FFFFFF"/>
            </w:tcBorders>
            <w:shd w:val="clear" w:color="auto" w:fill="8496B0"/>
            <w:vAlign w:val="center"/>
          </w:tcPr>
          <w:p w14:paraId="4AACE137" w14:textId="77777777" w:rsidR="00357C81" w:rsidRPr="00357C81" w:rsidRDefault="00357C81" w:rsidP="00357C81">
            <w:pPr>
              <w:spacing w:after="0"/>
              <w:jc w:val="center"/>
              <w:rPr>
                <w:rFonts w:ascii="Calibri" w:hAnsi="Calibri" w:cs="Calibri"/>
                <w:color w:val="FFFFFF"/>
                <w:sz w:val="20"/>
                <w:szCs w:val="20"/>
                <w:lang w:eastAsia="en-US"/>
              </w:rPr>
            </w:pPr>
          </w:p>
        </w:tc>
        <w:tc>
          <w:tcPr>
            <w:tcW w:w="3118" w:type="dxa"/>
            <w:tcBorders>
              <w:top w:val="single" w:sz="4" w:space="0" w:color="FFFFFF"/>
              <w:left w:val="single" w:sz="4" w:space="0" w:color="FFFFFF"/>
              <w:bottom w:val="single" w:sz="4" w:space="0" w:color="FFFFFF"/>
              <w:right w:val="single" w:sz="4" w:space="0" w:color="FFFFFF"/>
            </w:tcBorders>
            <w:shd w:val="clear" w:color="auto" w:fill="8496B0"/>
            <w:vAlign w:val="center"/>
          </w:tcPr>
          <w:p w14:paraId="6548E7ED" w14:textId="77777777" w:rsidR="00357C81" w:rsidRPr="00357C81" w:rsidRDefault="00357C81" w:rsidP="00357C81">
            <w:pPr>
              <w:spacing w:after="0"/>
              <w:jc w:val="center"/>
              <w:rPr>
                <w:rFonts w:ascii="Calibri" w:hAnsi="Calibri" w:cs="Calibri"/>
                <w:color w:val="FFFFFF"/>
                <w:sz w:val="20"/>
                <w:szCs w:val="20"/>
                <w:lang w:eastAsia="en-US"/>
              </w:rPr>
            </w:pPr>
            <w:r w:rsidRPr="00357C81">
              <w:rPr>
                <w:rFonts w:ascii="Calibri" w:hAnsi="Calibri" w:cs="Calibri"/>
                <w:color w:val="FFFFFF"/>
                <w:sz w:val="20"/>
                <w:szCs w:val="20"/>
                <w:lang w:eastAsia="en-US"/>
              </w:rPr>
              <w:t>ACTIVITY DETAILS</w:t>
            </w:r>
          </w:p>
        </w:tc>
        <w:tc>
          <w:tcPr>
            <w:tcW w:w="297" w:type="dxa"/>
            <w:tcBorders>
              <w:top w:val="single" w:sz="4" w:space="0" w:color="FFFFFF"/>
              <w:left w:val="single" w:sz="4" w:space="0" w:color="FFFFFF"/>
              <w:bottom w:val="single" w:sz="4" w:space="0" w:color="FFFFFF"/>
              <w:right w:val="single" w:sz="4" w:space="0" w:color="FFFFFF"/>
            </w:tcBorders>
            <w:shd w:val="clear" w:color="auto" w:fill="8496B0"/>
            <w:vAlign w:val="center"/>
          </w:tcPr>
          <w:p w14:paraId="38F64CFC" w14:textId="77777777" w:rsidR="00357C81" w:rsidRPr="00357C81" w:rsidRDefault="00357C81" w:rsidP="00357C81">
            <w:pPr>
              <w:spacing w:after="0"/>
              <w:jc w:val="center"/>
              <w:rPr>
                <w:rFonts w:ascii="Calibri" w:hAnsi="Calibri" w:cs="Calibri"/>
                <w:color w:val="FFFFFF"/>
                <w:sz w:val="20"/>
                <w:szCs w:val="20"/>
                <w:lang w:eastAsia="en-US"/>
              </w:rPr>
            </w:pPr>
          </w:p>
        </w:tc>
        <w:tc>
          <w:tcPr>
            <w:tcW w:w="1097" w:type="dxa"/>
            <w:tcBorders>
              <w:top w:val="single" w:sz="4" w:space="0" w:color="FFFFFF"/>
              <w:left w:val="single" w:sz="4" w:space="0" w:color="FFFFFF"/>
              <w:bottom w:val="single" w:sz="4" w:space="0" w:color="FFFFFF"/>
              <w:right w:val="single" w:sz="4" w:space="0" w:color="FFFFFF"/>
            </w:tcBorders>
            <w:shd w:val="clear" w:color="auto" w:fill="8496B0"/>
            <w:vAlign w:val="center"/>
          </w:tcPr>
          <w:p w14:paraId="5BF429E0" w14:textId="77777777" w:rsidR="00357C81" w:rsidRPr="00357C81" w:rsidRDefault="00357C81" w:rsidP="00357C81">
            <w:pPr>
              <w:spacing w:after="0"/>
              <w:jc w:val="center"/>
              <w:rPr>
                <w:rFonts w:ascii="Calibri" w:hAnsi="Calibri" w:cs="Calibri"/>
                <w:color w:val="FFFFFF"/>
                <w:sz w:val="20"/>
                <w:szCs w:val="20"/>
                <w:lang w:eastAsia="en-US"/>
              </w:rPr>
            </w:pPr>
            <w:r w:rsidRPr="00357C81">
              <w:rPr>
                <w:rFonts w:ascii="Calibri" w:hAnsi="Calibri" w:cs="Calibri"/>
                <w:color w:val="FFFFFF"/>
                <w:sz w:val="20"/>
                <w:szCs w:val="20"/>
                <w:lang w:eastAsia="en-US"/>
              </w:rPr>
              <w:t>CSSC CODE</w:t>
            </w:r>
          </w:p>
        </w:tc>
      </w:tr>
      <w:tr w:rsidR="00357C81" w:rsidRPr="00357C81" w14:paraId="39D14B47" w14:textId="77777777" w:rsidTr="00A50E08">
        <w:trPr>
          <w:trHeight w:val="45"/>
        </w:trPr>
        <w:tc>
          <w:tcPr>
            <w:tcW w:w="1242" w:type="dxa"/>
            <w:tcBorders>
              <w:top w:val="single" w:sz="4" w:space="0" w:color="FFFFFF"/>
            </w:tcBorders>
            <w:shd w:val="clear" w:color="auto" w:fill="E1E6EB"/>
            <w:vAlign w:val="center"/>
          </w:tcPr>
          <w:p w14:paraId="6BE1133C" w14:textId="77777777" w:rsidR="00357C81" w:rsidRPr="00357C81" w:rsidRDefault="00357C81" w:rsidP="00357C81">
            <w:pPr>
              <w:spacing w:after="0"/>
              <w:rPr>
                <w:rFonts w:ascii="Calibri" w:hAnsi="Calibri" w:cs="Calibri"/>
                <w:sz w:val="10"/>
                <w:szCs w:val="10"/>
                <w:lang w:eastAsia="en-US"/>
              </w:rPr>
            </w:pPr>
          </w:p>
        </w:tc>
        <w:tc>
          <w:tcPr>
            <w:tcW w:w="296" w:type="dxa"/>
            <w:tcBorders>
              <w:top w:val="single" w:sz="4" w:space="0" w:color="FFFFFF"/>
            </w:tcBorders>
            <w:shd w:val="clear" w:color="auto" w:fill="E1E6EB"/>
          </w:tcPr>
          <w:p w14:paraId="34ABD890" w14:textId="77777777" w:rsidR="00357C81" w:rsidRPr="00357C81" w:rsidRDefault="00357C81" w:rsidP="00357C81">
            <w:pPr>
              <w:spacing w:after="0"/>
              <w:rPr>
                <w:rFonts w:ascii="Calibri" w:hAnsi="Calibri" w:cs="Calibri"/>
                <w:sz w:val="10"/>
                <w:szCs w:val="10"/>
                <w:lang w:eastAsia="en-US"/>
              </w:rPr>
            </w:pPr>
          </w:p>
        </w:tc>
        <w:tc>
          <w:tcPr>
            <w:tcW w:w="1634" w:type="dxa"/>
            <w:tcBorders>
              <w:top w:val="single" w:sz="4" w:space="0" w:color="FFFFFF"/>
            </w:tcBorders>
            <w:shd w:val="clear" w:color="auto" w:fill="E1E6EB"/>
            <w:vAlign w:val="center"/>
          </w:tcPr>
          <w:p w14:paraId="3F9FD837" w14:textId="77777777" w:rsidR="00357C81" w:rsidRPr="00357C81" w:rsidRDefault="00357C81" w:rsidP="00357C81">
            <w:pPr>
              <w:spacing w:after="0"/>
              <w:rPr>
                <w:rFonts w:ascii="Calibri" w:hAnsi="Calibri" w:cs="Calibri"/>
                <w:sz w:val="10"/>
                <w:szCs w:val="10"/>
                <w:lang w:eastAsia="en-US"/>
              </w:rPr>
            </w:pPr>
          </w:p>
        </w:tc>
        <w:tc>
          <w:tcPr>
            <w:tcW w:w="296" w:type="dxa"/>
            <w:tcBorders>
              <w:top w:val="single" w:sz="4" w:space="0" w:color="FFFFFF"/>
            </w:tcBorders>
            <w:shd w:val="clear" w:color="auto" w:fill="E1E6EB"/>
          </w:tcPr>
          <w:p w14:paraId="72368FE4" w14:textId="77777777" w:rsidR="00357C81" w:rsidRPr="00357C81" w:rsidRDefault="00357C81" w:rsidP="00357C81">
            <w:pPr>
              <w:spacing w:after="0"/>
              <w:rPr>
                <w:rFonts w:ascii="Calibri" w:hAnsi="Calibri" w:cs="Calibri"/>
                <w:sz w:val="10"/>
                <w:szCs w:val="10"/>
                <w:lang w:eastAsia="en-US"/>
              </w:rPr>
            </w:pPr>
          </w:p>
        </w:tc>
        <w:tc>
          <w:tcPr>
            <w:tcW w:w="1930" w:type="dxa"/>
            <w:tcBorders>
              <w:top w:val="single" w:sz="4" w:space="0" w:color="FFFFFF"/>
            </w:tcBorders>
            <w:shd w:val="clear" w:color="auto" w:fill="E1E6EB"/>
            <w:vAlign w:val="center"/>
          </w:tcPr>
          <w:p w14:paraId="323B1CD5" w14:textId="77777777" w:rsidR="00357C81" w:rsidRPr="00357C81" w:rsidRDefault="00357C81" w:rsidP="00357C81">
            <w:pPr>
              <w:spacing w:after="0"/>
              <w:rPr>
                <w:rFonts w:ascii="Calibri" w:hAnsi="Calibri" w:cs="Calibri"/>
                <w:sz w:val="10"/>
                <w:szCs w:val="10"/>
                <w:lang w:eastAsia="en-US"/>
              </w:rPr>
            </w:pPr>
          </w:p>
        </w:tc>
        <w:tc>
          <w:tcPr>
            <w:tcW w:w="296" w:type="dxa"/>
            <w:tcBorders>
              <w:top w:val="single" w:sz="4" w:space="0" w:color="FFFFFF"/>
            </w:tcBorders>
            <w:shd w:val="clear" w:color="auto" w:fill="E1E6EB"/>
          </w:tcPr>
          <w:p w14:paraId="20CDECB9" w14:textId="77777777" w:rsidR="00357C81" w:rsidRPr="00357C81" w:rsidRDefault="00357C81" w:rsidP="00357C81">
            <w:pPr>
              <w:spacing w:after="0"/>
              <w:rPr>
                <w:rFonts w:ascii="Calibri" w:hAnsi="Calibri" w:cs="Calibri"/>
                <w:sz w:val="10"/>
                <w:szCs w:val="10"/>
                <w:lang w:eastAsia="en-US"/>
              </w:rPr>
            </w:pPr>
          </w:p>
        </w:tc>
        <w:tc>
          <w:tcPr>
            <w:tcW w:w="3118" w:type="dxa"/>
            <w:tcBorders>
              <w:top w:val="single" w:sz="4" w:space="0" w:color="FFFFFF"/>
            </w:tcBorders>
            <w:shd w:val="clear" w:color="auto" w:fill="E1E6EB"/>
            <w:vAlign w:val="center"/>
          </w:tcPr>
          <w:p w14:paraId="16FF4AC7" w14:textId="77777777" w:rsidR="00357C81" w:rsidRPr="00357C81" w:rsidRDefault="00357C81" w:rsidP="00357C81">
            <w:pPr>
              <w:spacing w:after="0"/>
              <w:rPr>
                <w:rFonts w:ascii="Calibri" w:hAnsi="Calibri" w:cs="Calibri"/>
                <w:sz w:val="10"/>
                <w:szCs w:val="10"/>
                <w:lang w:eastAsia="en-US"/>
              </w:rPr>
            </w:pPr>
          </w:p>
        </w:tc>
        <w:tc>
          <w:tcPr>
            <w:tcW w:w="297" w:type="dxa"/>
            <w:tcBorders>
              <w:top w:val="single" w:sz="4" w:space="0" w:color="FFFFFF"/>
            </w:tcBorders>
            <w:shd w:val="clear" w:color="auto" w:fill="E1E6EB"/>
          </w:tcPr>
          <w:p w14:paraId="5AE47867" w14:textId="77777777" w:rsidR="00357C81" w:rsidRPr="00357C81" w:rsidRDefault="00357C81" w:rsidP="00357C81">
            <w:pPr>
              <w:spacing w:after="0"/>
              <w:rPr>
                <w:rFonts w:ascii="Calibri" w:hAnsi="Calibri" w:cs="Calibri"/>
                <w:sz w:val="10"/>
                <w:szCs w:val="10"/>
                <w:lang w:eastAsia="en-US"/>
              </w:rPr>
            </w:pPr>
          </w:p>
        </w:tc>
        <w:tc>
          <w:tcPr>
            <w:tcW w:w="1097" w:type="dxa"/>
            <w:tcBorders>
              <w:top w:val="single" w:sz="4" w:space="0" w:color="FFFFFF"/>
            </w:tcBorders>
            <w:shd w:val="clear" w:color="auto" w:fill="E1E6EB"/>
            <w:vAlign w:val="center"/>
          </w:tcPr>
          <w:p w14:paraId="09EBE588" w14:textId="77777777" w:rsidR="00357C81" w:rsidRPr="00357C81" w:rsidRDefault="00357C81" w:rsidP="00357C81">
            <w:pPr>
              <w:spacing w:after="0"/>
              <w:rPr>
                <w:rFonts w:ascii="Calibri" w:hAnsi="Calibri" w:cs="Calibri"/>
                <w:sz w:val="10"/>
                <w:szCs w:val="10"/>
                <w:lang w:eastAsia="en-US"/>
              </w:rPr>
            </w:pPr>
          </w:p>
        </w:tc>
      </w:tr>
      <w:tr w:rsidR="00357C81" w:rsidRPr="00357C81" w14:paraId="4B7262D8" w14:textId="77777777" w:rsidTr="00A50E08">
        <w:trPr>
          <w:trHeight w:val="340"/>
        </w:trPr>
        <w:bookmarkStart w:id="15" w:name="_Hlk199844780" w:displacedByCustomXml="next"/>
        <w:sdt>
          <w:sdtPr>
            <w:rPr>
              <w:rFonts w:ascii="Calibri" w:hAnsi="Calibri" w:cs="Calibri"/>
              <w:sz w:val="20"/>
              <w:szCs w:val="20"/>
              <w:lang w:eastAsia="en-US"/>
            </w:rPr>
            <w:id w:val="-1408298029"/>
            <w:placeholder>
              <w:docPart w:val="2FF6FD9BFDE14A0BB49727D675DA6E3F"/>
            </w:placeholder>
          </w:sdtPr>
          <w:sdtEndPr/>
          <w:sdtContent>
            <w:tc>
              <w:tcPr>
                <w:tcW w:w="1242" w:type="dxa"/>
                <w:shd w:val="clear" w:color="auto" w:fill="auto"/>
                <w:vAlign w:val="center"/>
              </w:tcPr>
              <w:p w14:paraId="2D41B777" w14:textId="77777777" w:rsidR="00357C81" w:rsidRPr="00357C81" w:rsidRDefault="00357C81" w:rsidP="00357C81">
                <w:pPr>
                  <w:spacing w:after="0"/>
                  <w:jc w:val="center"/>
                  <w:rPr>
                    <w:rFonts w:ascii="Calibri" w:hAnsi="Calibri" w:cs="Calibri"/>
                    <w:sz w:val="20"/>
                    <w:szCs w:val="20"/>
                    <w:lang w:eastAsia="en-US"/>
                  </w:rPr>
                </w:pPr>
                <w:r w:rsidRPr="00357C81">
                  <w:rPr>
                    <w:rFonts w:ascii="Calibri" w:hAnsi="Calibri"/>
                    <w:szCs w:val="22"/>
                    <w:lang w:eastAsia="en-US"/>
                  </w:rPr>
                  <w:t>JohnB</w:t>
                </w:r>
              </w:p>
            </w:tc>
          </w:sdtContent>
        </w:sdt>
        <w:tc>
          <w:tcPr>
            <w:tcW w:w="296" w:type="dxa"/>
            <w:vAlign w:val="center"/>
          </w:tcPr>
          <w:p w14:paraId="4D280D72" w14:textId="77777777" w:rsidR="00357C81" w:rsidRPr="00357C81" w:rsidRDefault="00357C81" w:rsidP="00357C81">
            <w:pPr>
              <w:spacing w:after="0"/>
              <w:jc w:val="center"/>
              <w:rPr>
                <w:rFonts w:ascii="Calibri" w:hAnsi="Calibri" w:cs="Calibri"/>
                <w:sz w:val="20"/>
                <w:szCs w:val="20"/>
                <w:lang w:eastAsia="en-US"/>
              </w:rPr>
            </w:pPr>
            <w:r w:rsidRPr="00357C81">
              <w:rPr>
                <w:rFonts w:ascii="Calibri" w:hAnsi="Calibri" w:cs="Calibri"/>
                <w:sz w:val="20"/>
                <w:szCs w:val="20"/>
                <w:lang w:eastAsia="en-US"/>
              </w:rPr>
              <w:t>-</w:t>
            </w:r>
          </w:p>
        </w:tc>
        <w:sdt>
          <w:sdtPr>
            <w:rPr>
              <w:rFonts w:ascii="Calibri" w:hAnsi="Calibri" w:cs="Calibri"/>
              <w:sz w:val="20"/>
              <w:szCs w:val="20"/>
              <w:lang w:eastAsia="en-US"/>
            </w:rPr>
            <w:id w:val="936791417"/>
            <w:placeholder>
              <w:docPart w:val="B2D8E4177F1E4ECDA17B156A9BF48146"/>
            </w:placeholder>
            <w:comboBox>
              <w:listItem w:value="Choose activity."/>
              <w:listItem w:displayText="Arts" w:value="Arts"/>
              <w:listItem w:displayText="Culture" w:value="Culture"/>
              <w:listItem w:displayText="Music" w:value="Music"/>
              <w:listItem w:displayText="Recreation" w:value="Recreation"/>
              <w:listItem w:displayText="Sport" w:value="Sport"/>
              <w:listItem w:displayText="Tutoring" w:value="Tutoring"/>
            </w:comboBox>
          </w:sdtPr>
          <w:sdtEndPr/>
          <w:sdtContent>
            <w:tc>
              <w:tcPr>
                <w:tcW w:w="1634" w:type="dxa"/>
                <w:shd w:val="clear" w:color="auto" w:fill="auto"/>
                <w:vAlign w:val="center"/>
              </w:tcPr>
              <w:p w14:paraId="1498B79E" w14:textId="77777777" w:rsidR="00357C81" w:rsidRPr="00357C81" w:rsidRDefault="00357C81" w:rsidP="00357C81">
                <w:pPr>
                  <w:spacing w:after="0"/>
                  <w:jc w:val="center"/>
                  <w:rPr>
                    <w:rFonts w:ascii="Calibri" w:hAnsi="Calibri" w:cs="Calibri"/>
                    <w:sz w:val="20"/>
                    <w:szCs w:val="20"/>
                    <w:lang w:eastAsia="en-US"/>
                  </w:rPr>
                </w:pPr>
                <w:r w:rsidRPr="00357C81">
                  <w:rPr>
                    <w:rFonts w:ascii="Calibri" w:hAnsi="Calibri" w:cs="Calibri"/>
                    <w:sz w:val="20"/>
                    <w:szCs w:val="20"/>
                    <w:lang w:eastAsia="en-US"/>
                  </w:rPr>
                  <w:t>Arts</w:t>
                </w:r>
              </w:p>
            </w:tc>
          </w:sdtContent>
        </w:sdt>
        <w:tc>
          <w:tcPr>
            <w:tcW w:w="296" w:type="dxa"/>
            <w:vAlign w:val="center"/>
          </w:tcPr>
          <w:p w14:paraId="41C8DCC6" w14:textId="77777777" w:rsidR="00357C81" w:rsidRPr="00357C81" w:rsidRDefault="00357C81" w:rsidP="00357C81">
            <w:pPr>
              <w:spacing w:after="0"/>
              <w:jc w:val="center"/>
              <w:rPr>
                <w:rFonts w:ascii="Calibri" w:hAnsi="Calibri" w:cs="Calibri"/>
                <w:sz w:val="20"/>
                <w:szCs w:val="20"/>
                <w:lang w:eastAsia="en-US"/>
              </w:rPr>
            </w:pPr>
            <w:r w:rsidRPr="00357C81">
              <w:rPr>
                <w:rFonts w:ascii="Calibri" w:hAnsi="Calibri" w:cs="Calibri"/>
                <w:sz w:val="20"/>
                <w:szCs w:val="20"/>
                <w:lang w:eastAsia="en-US"/>
              </w:rPr>
              <w:t>-</w:t>
            </w:r>
          </w:p>
        </w:tc>
        <w:sdt>
          <w:sdtPr>
            <w:rPr>
              <w:rFonts w:ascii="Calibri" w:hAnsi="Calibri" w:cs="Calibri"/>
              <w:sz w:val="20"/>
              <w:szCs w:val="20"/>
              <w:lang w:eastAsia="en-US"/>
            </w:rPr>
            <w:id w:val="2145390179"/>
            <w:placeholder>
              <w:docPart w:val="734FE74800484789AC44DC167FE0F58B"/>
            </w:placeholder>
            <w:comboBox>
              <w:listItem w:value="Choose activity."/>
              <w:listItem w:displayText="Enr" w:value="Enr"/>
              <w:listItem w:displayText="Equip" w:value="Equip"/>
            </w:comboBox>
          </w:sdtPr>
          <w:sdtEndPr/>
          <w:sdtContent>
            <w:tc>
              <w:tcPr>
                <w:tcW w:w="1930" w:type="dxa"/>
                <w:shd w:val="clear" w:color="auto" w:fill="auto"/>
                <w:vAlign w:val="center"/>
              </w:tcPr>
              <w:p w14:paraId="51CA707F" w14:textId="77777777" w:rsidR="00357C81" w:rsidRPr="00357C81" w:rsidRDefault="00357C81" w:rsidP="00357C81">
                <w:pPr>
                  <w:spacing w:after="0"/>
                  <w:jc w:val="center"/>
                  <w:rPr>
                    <w:rFonts w:ascii="Calibri" w:hAnsi="Calibri" w:cs="Calibri"/>
                    <w:sz w:val="20"/>
                    <w:szCs w:val="20"/>
                    <w:lang w:eastAsia="en-US"/>
                  </w:rPr>
                </w:pPr>
                <w:r w:rsidRPr="00357C81">
                  <w:rPr>
                    <w:rFonts w:ascii="Calibri" w:hAnsi="Calibri" w:cs="Calibri"/>
                    <w:sz w:val="20"/>
                    <w:szCs w:val="20"/>
                    <w:lang w:eastAsia="en-US"/>
                  </w:rPr>
                  <w:t>Equip</w:t>
                </w:r>
              </w:p>
            </w:tc>
          </w:sdtContent>
        </w:sdt>
        <w:tc>
          <w:tcPr>
            <w:tcW w:w="296" w:type="dxa"/>
            <w:vAlign w:val="center"/>
          </w:tcPr>
          <w:p w14:paraId="5E4A866F" w14:textId="77777777" w:rsidR="00357C81" w:rsidRPr="00357C81" w:rsidRDefault="00357C81" w:rsidP="00357C81">
            <w:pPr>
              <w:spacing w:after="0"/>
              <w:jc w:val="center"/>
              <w:rPr>
                <w:rFonts w:ascii="Calibri" w:hAnsi="Calibri"/>
                <w:sz w:val="20"/>
                <w:szCs w:val="20"/>
                <w:lang w:eastAsia="en-US"/>
              </w:rPr>
            </w:pPr>
            <w:r w:rsidRPr="00357C81">
              <w:rPr>
                <w:rFonts w:ascii="Calibri" w:hAnsi="Calibri"/>
                <w:sz w:val="20"/>
                <w:szCs w:val="20"/>
                <w:lang w:eastAsia="en-US"/>
              </w:rPr>
              <w:t>-</w:t>
            </w:r>
          </w:p>
        </w:tc>
        <w:sdt>
          <w:sdtPr>
            <w:rPr>
              <w:rFonts w:ascii="Calibri" w:hAnsi="Calibri" w:cs="Calibri"/>
              <w:sz w:val="20"/>
              <w:szCs w:val="20"/>
              <w:lang w:eastAsia="en-US"/>
            </w:rPr>
            <w:id w:val="-1909831869"/>
            <w:placeholder>
              <w:docPart w:val="31BEE66A90FE47769A4F028DA5CFDCEC"/>
            </w:placeholder>
          </w:sdtPr>
          <w:sdtEndPr/>
          <w:sdtContent>
            <w:tc>
              <w:tcPr>
                <w:tcW w:w="3118" w:type="dxa"/>
                <w:shd w:val="clear" w:color="auto" w:fill="auto"/>
                <w:vAlign w:val="center"/>
              </w:tcPr>
              <w:p w14:paraId="6C144968" w14:textId="77777777" w:rsidR="00357C81" w:rsidRPr="00357C81" w:rsidRDefault="00357C81" w:rsidP="00357C81">
                <w:pPr>
                  <w:spacing w:after="0"/>
                  <w:rPr>
                    <w:rFonts w:ascii="Calibri" w:hAnsi="Calibri" w:cs="Calibri"/>
                    <w:sz w:val="20"/>
                    <w:szCs w:val="20"/>
                    <w:lang w:eastAsia="en-US"/>
                  </w:rPr>
                </w:pPr>
                <w:r w:rsidRPr="00357C81">
                  <w:rPr>
                    <w:rFonts w:ascii="Calibri" w:hAnsi="Calibri"/>
                    <w:szCs w:val="22"/>
                    <w:lang w:eastAsia="en-US"/>
                  </w:rPr>
                  <w:t xml:space="preserve">Paint brushes </w:t>
                </w:r>
              </w:p>
            </w:tc>
          </w:sdtContent>
        </w:sdt>
        <w:tc>
          <w:tcPr>
            <w:tcW w:w="297" w:type="dxa"/>
            <w:vAlign w:val="center"/>
          </w:tcPr>
          <w:p w14:paraId="61510900" w14:textId="77777777" w:rsidR="00357C81" w:rsidRPr="00357C81" w:rsidRDefault="00357C81" w:rsidP="00357C81">
            <w:pPr>
              <w:spacing w:after="0"/>
              <w:jc w:val="center"/>
              <w:rPr>
                <w:rFonts w:ascii="Calibri" w:hAnsi="Calibri" w:cs="Calibri"/>
                <w:sz w:val="20"/>
                <w:szCs w:val="20"/>
                <w:lang w:eastAsia="en-US"/>
              </w:rPr>
            </w:pPr>
            <w:r w:rsidRPr="00357C81">
              <w:rPr>
                <w:rFonts w:ascii="Calibri" w:hAnsi="Calibri" w:cs="Calibri"/>
                <w:sz w:val="20"/>
                <w:szCs w:val="20"/>
                <w:lang w:eastAsia="en-US"/>
              </w:rPr>
              <w:t>-</w:t>
            </w:r>
          </w:p>
        </w:tc>
        <w:sdt>
          <w:sdtPr>
            <w:rPr>
              <w:rFonts w:ascii="Calibri" w:hAnsi="Calibri" w:cs="Calibri"/>
              <w:sz w:val="20"/>
              <w:szCs w:val="20"/>
              <w:lang w:eastAsia="en-US"/>
            </w:rPr>
            <w:id w:val="607777699"/>
            <w:placeholder>
              <w:docPart w:val="41057F5E5E8B49B8926522DCCB8D8F1F"/>
            </w:placeholder>
            <w:dropDownList>
              <w:listItem w:value="Choose an item."/>
              <w:listItem w:displayText="ALDCS" w:value="ALDCS"/>
              <w:listItem w:displayText="ATHCS" w:value="ATHCS"/>
              <w:listItem w:displayText="BAYCS" w:value="BAYCS"/>
              <w:listItem w:displayText="BDSCS" w:value="BDSCS"/>
              <w:listItem w:displayText="BEECS" w:value="BEECS"/>
              <w:listItem w:displayText="BRPCS" w:value="BRPCS"/>
              <w:listItem w:displayText="BUNCS" w:value="BUNCS"/>
              <w:listItem w:displayText="CABCS" w:value="CABCS"/>
              <w:listItem w:displayText="CAICS" w:value="CAICS"/>
              <w:listItem w:displayText="CALCS" w:value="CALCS"/>
              <w:listItem w:displayText="CANCS" w:value="CANCS"/>
              <w:listItem w:displayText="CYNCS" w:value="CYNCS"/>
              <w:listItem w:displayText="CHECS" w:value="CHECS"/>
              <w:listItem w:displayText="COOCS" w:value="COOCS"/>
              <w:listItem w:displayText="EDMCS" w:value="EDMCS"/>
              <w:listItem w:displayText="EMECS" w:value="EMECS"/>
              <w:listItem w:displayText="FIACS" w:value="FIACS"/>
              <w:listItem w:displayText="FITCS" w:value="FITCS"/>
              <w:listItem w:displayText="FOLCS" w:value="FOLCS"/>
              <w:listItem w:displayText="FCTCS" w:value="FCTCS"/>
              <w:listItem w:displayText="GLACS" w:value="GLACS"/>
              <w:listItem w:displayText="GCAIC" w:value="GCAIC"/>
              <w:listItem w:displayText="GYMCS" w:value="GYMCS"/>
              <w:listItem w:displayText="INACS" w:value="INACS"/>
              <w:listItem w:displayText="INNCS" w:value="INNCS"/>
              <w:listItem w:displayText="IIASC" w:value="IIASC"/>
              <w:listItem w:displayText="IPNCS" w:value="IPNCS"/>
              <w:listItem w:displayText="IPSCS" w:value="IPSCS"/>
              <w:listItem w:displayText="LABCS" w:value="LABCS"/>
              <w:listItem w:displayText="LOGCS" w:value="LOGCS"/>
              <w:listItem w:displayText="LGLCS" w:value="LGLCS"/>
              <w:listItem w:displayText="MKYCS" w:value="MKYCS"/>
              <w:listItem w:displayText="MDECS" w:value="MDECS"/>
              <w:listItem w:displayText="MEBCS" w:value="MEBCS"/>
              <w:listItem w:displayText="MORCS" w:value="MORCS"/>
              <w:listItem w:displayText="MTACS" w:value="MTACS"/>
              <w:listItem w:displayText="MTGCS" w:value="MTGCS"/>
              <w:listItem w:displayText="MIGCS" w:value="MIGCS"/>
              <w:listItem w:displayText="NCLCS" w:value="NCLCS"/>
              <w:listItem w:displayText="REDCS" w:value="REDCS"/>
              <w:listItem w:displayText="RIPCS" w:value="RIPCS"/>
              <w:listItem w:displayText="ROMCS" w:value="ROMCS"/>
              <w:listItem w:displayText="SBUCS" w:value="SBUCS"/>
              <w:listItem w:displayText="SDGSC" w:value="SDGSC"/>
              <w:listItem w:displayText="SPRCS" w:value="SPRCS"/>
              <w:listItem w:displayText="STRCS" w:value="STRCS"/>
              <w:listItem w:displayText="THUCS" w:value="THUCS"/>
              <w:listItem w:displayText="TWNCS" w:value="TWNCS"/>
              <w:listItem w:displayText="TIACS" w:value="TIACS"/>
              <w:listItem w:displayText="TNHCS" w:value="TNHCS"/>
              <w:listItem w:displayText="TSBCS" w:value="TSBCS"/>
              <w:listItem w:displayText="TWCCS" w:value="TWCCS"/>
              <w:listItem w:displayText="WEICS" w:value="WEICS"/>
              <w:listItem w:displayText="WMCCS" w:value="WMCCS"/>
              <w:listItem w:displayText="WDICS" w:value="WDICS"/>
            </w:dropDownList>
          </w:sdtPr>
          <w:sdtEndPr/>
          <w:sdtContent>
            <w:tc>
              <w:tcPr>
                <w:tcW w:w="1097" w:type="dxa"/>
                <w:shd w:val="clear" w:color="auto" w:fill="auto"/>
                <w:vAlign w:val="center"/>
              </w:tcPr>
              <w:p w14:paraId="7CD32654" w14:textId="77777777" w:rsidR="00357C81" w:rsidRPr="00357C81" w:rsidRDefault="00357C81" w:rsidP="00357C81">
                <w:pPr>
                  <w:spacing w:after="0"/>
                  <w:jc w:val="center"/>
                  <w:rPr>
                    <w:rFonts w:ascii="Calibri" w:hAnsi="Calibri" w:cs="Calibri"/>
                    <w:sz w:val="20"/>
                    <w:szCs w:val="20"/>
                    <w:lang w:eastAsia="en-US"/>
                  </w:rPr>
                </w:pPr>
                <w:r w:rsidRPr="00357C81">
                  <w:rPr>
                    <w:rFonts w:ascii="Calibri" w:hAnsi="Calibri" w:cs="Calibri"/>
                    <w:sz w:val="20"/>
                    <w:szCs w:val="20"/>
                    <w:lang w:eastAsia="en-US"/>
                  </w:rPr>
                  <w:t>REDCS</w:t>
                </w:r>
              </w:p>
            </w:tc>
          </w:sdtContent>
        </w:sdt>
      </w:tr>
      <w:bookmarkEnd w:id="15"/>
    </w:tbl>
    <w:p w14:paraId="507A901A" w14:textId="77777777" w:rsidR="00D272DF" w:rsidRDefault="00D272DF" w:rsidP="0041018F">
      <w:pPr>
        <w:jc w:val="both"/>
        <w:rPr>
          <w:b/>
          <w:bCs/>
          <w:color w:val="26555C"/>
          <w:sz w:val="24"/>
          <w:szCs w:val="28"/>
        </w:rPr>
      </w:pPr>
    </w:p>
    <w:p w14:paraId="02A2C5E7" w14:textId="71851E5B" w:rsidR="00A50E08" w:rsidRPr="00A50E08" w:rsidRDefault="00A50E08" w:rsidP="00A50E08">
      <w:pPr>
        <w:jc w:val="both"/>
        <w:rPr>
          <w:b/>
        </w:rPr>
      </w:pPr>
      <w:r w:rsidRPr="00A50E08">
        <w:rPr>
          <w:b/>
        </w:rPr>
        <w:t>How it should be recorded in the SAP Line descriptor</w:t>
      </w:r>
    </w:p>
    <w:p w14:paraId="39D26170" w14:textId="33691940" w:rsidR="00A50E08" w:rsidRPr="00A50E08" w:rsidRDefault="00A50E08" w:rsidP="00A50E08">
      <w:pPr>
        <w:jc w:val="both"/>
        <w:rPr>
          <w:bCs/>
          <w:i/>
          <w:iCs/>
        </w:rPr>
      </w:pPr>
      <w:r w:rsidRPr="00A50E08">
        <w:rPr>
          <w:bCs/>
          <w:i/>
          <w:iCs/>
        </w:rPr>
        <w:t>JohnB, Arts, Equip, Paint brushes, REDCS</w:t>
      </w:r>
    </w:p>
    <w:p w14:paraId="3189CDB5" w14:textId="77777777" w:rsidR="00A50E08" w:rsidRPr="00A50E08" w:rsidRDefault="00A50E08" w:rsidP="00A50E08">
      <w:pPr>
        <w:jc w:val="both"/>
        <w:rPr>
          <w:bCs/>
        </w:rPr>
      </w:pPr>
    </w:p>
    <w:p w14:paraId="78256BF4" w14:textId="77777777" w:rsidR="00357C81" w:rsidRDefault="00357C81" w:rsidP="00357C81">
      <w:pPr>
        <w:jc w:val="both"/>
        <w:rPr>
          <w:b/>
          <w:bCs/>
          <w:color w:val="26555C"/>
          <w:sz w:val="24"/>
          <w:szCs w:val="28"/>
        </w:rPr>
      </w:pPr>
      <w:r w:rsidRPr="00CC590D">
        <w:rPr>
          <w:b/>
          <w:bCs/>
          <w:color w:val="26555C"/>
          <w:sz w:val="24"/>
          <w:szCs w:val="28"/>
        </w:rPr>
        <w:t>How can we find out more?</w:t>
      </w:r>
    </w:p>
    <w:p w14:paraId="4EAB77EF" w14:textId="77777777" w:rsidR="00357C81" w:rsidRDefault="00357C81" w:rsidP="00357C81">
      <w:pPr>
        <w:pStyle w:val="xmsonormal"/>
        <w:spacing w:after="240"/>
        <w:jc w:val="both"/>
        <w:rPr>
          <w:rFonts w:ascii="Arial" w:hAnsi="Arial" w:cs="Arial"/>
        </w:rPr>
      </w:pPr>
      <w:r w:rsidRPr="00487409">
        <w:rPr>
          <w:rFonts w:ascii="Arial" w:hAnsi="Arial" w:cs="Arial"/>
        </w:rPr>
        <w:t xml:space="preserve">Forms and </w:t>
      </w:r>
      <w:r>
        <w:rPr>
          <w:rFonts w:ascii="Arial" w:hAnsi="Arial" w:cs="Arial"/>
        </w:rPr>
        <w:t>g</w:t>
      </w:r>
      <w:r w:rsidRPr="00487409">
        <w:rPr>
          <w:rFonts w:ascii="Arial" w:hAnsi="Arial" w:cs="Arial"/>
        </w:rPr>
        <w:t xml:space="preserve">uidelines about </w:t>
      </w:r>
      <w:r>
        <w:rPr>
          <w:rFonts w:ascii="Arial" w:hAnsi="Arial" w:cs="Arial"/>
        </w:rPr>
        <w:t xml:space="preserve">the </w:t>
      </w:r>
      <w:r w:rsidRPr="00487409">
        <w:rPr>
          <w:rFonts w:ascii="Arial" w:hAnsi="Arial" w:cs="Arial"/>
        </w:rPr>
        <w:t>$1500 boost for extracurricular activities</w:t>
      </w:r>
      <w:r>
        <w:rPr>
          <w:rFonts w:ascii="Arial" w:hAnsi="Arial" w:cs="Arial"/>
        </w:rPr>
        <w:t xml:space="preserve"> can be accessed from the following link: </w:t>
      </w:r>
      <w:hyperlink r:id="rId11" w:history="1">
        <w:r w:rsidRPr="00550097">
          <w:rPr>
            <w:rStyle w:val="Hyperlink"/>
            <w:rFonts w:cs="Arial"/>
          </w:rPr>
          <w:t>Resources and publications | Department of Families, Seniors, Disability Services and Child Safety</w:t>
        </w:r>
      </w:hyperlink>
      <w:r w:rsidRPr="00550097">
        <w:rPr>
          <w:rFonts w:ascii="Arial" w:hAnsi="Arial" w:cs="Arial"/>
        </w:rPr>
        <w:t>.</w:t>
      </w:r>
      <w:r>
        <w:rPr>
          <w:rFonts w:ascii="Arial" w:hAnsi="Arial" w:cs="Arial"/>
        </w:rPr>
        <w:t xml:space="preserve"> </w:t>
      </w:r>
    </w:p>
    <w:p w14:paraId="2324F540" w14:textId="77777777" w:rsidR="00357C81" w:rsidRDefault="00357C81" w:rsidP="00357C81">
      <w:pPr>
        <w:pStyle w:val="xmsonormal"/>
        <w:spacing w:after="240"/>
        <w:jc w:val="both"/>
        <w:rPr>
          <w:rFonts w:ascii="Arial" w:hAnsi="Arial" w:cs="Arial"/>
        </w:rPr>
      </w:pPr>
      <w:r>
        <w:rPr>
          <w:rFonts w:ascii="Arial" w:hAnsi="Arial" w:cs="Arial"/>
        </w:rPr>
        <w:t xml:space="preserve">Information for carers is also available on the </w:t>
      </w:r>
      <w:hyperlink r:id="rId12" w:history="1">
        <w:r w:rsidRPr="00A155BC">
          <w:rPr>
            <w:rStyle w:val="Hyperlink"/>
            <w:rFonts w:cs="Arial"/>
          </w:rPr>
          <w:t>Connecting with Carers</w:t>
        </w:r>
      </w:hyperlink>
      <w:r>
        <w:rPr>
          <w:rFonts w:ascii="Arial" w:hAnsi="Arial" w:cs="Arial"/>
        </w:rPr>
        <w:t xml:space="preserve"> webpage.</w:t>
      </w:r>
    </w:p>
    <w:p w14:paraId="2EA053B6" w14:textId="77777777" w:rsidR="00EA16EF" w:rsidRDefault="00EA16EF" w:rsidP="0041018F">
      <w:pPr>
        <w:jc w:val="both"/>
      </w:pPr>
    </w:p>
    <w:p w14:paraId="61C4874E" w14:textId="77777777" w:rsidR="00EA16EF" w:rsidRDefault="00EA16EF" w:rsidP="0041018F">
      <w:pPr>
        <w:jc w:val="both"/>
      </w:pPr>
    </w:p>
    <w:sectPr w:rsidR="00EA16EF" w:rsidSect="00156664">
      <w:headerReference w:type="default" r:id="rId13"/>
      <w:footerReference w:type="default" r:id="rId14"/>
      <w:headerReference w:type="first" r:id="rId15"/>
      <w:footerReference w:type="first" r:id="rId16"/>
      <w:type w:val="continuous"/>
      <w:pgSz w:w="11906" w:h="16838" w:code="9"/>
      <w:pgMar w:top="993" w:right="1134" w:bottom="1135" w:left="1134" w:header="709" w:footer="506"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7A439" w14:textId="77777777" w:rsidR="00FE5F18" w:rsidRDefault="00FE5F18">
      <w:r>
        <w:separator/>
      </w:r>
    </w:p>
  </w:endnote>
  <w:endnote w:type="continuationSeparator" w:id="0">
    <w:p w14:paraId="11440D0E" w14:textId="77777777" w:rsidR="00FE5F18" w:rsidRDefault="00FE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9717" w14:textId="77777777" w:rsidR="00156664" w:rsidRDefault="00A71DA8" w:rsidP="00156664">
    <w:pPr>
      <w:pStyle w:val="Footer"/>
      <w:jc w:val="center"/>
      <w:rPr>
        <w:sz w:val="16"/>
        <w:szCs w:val="20"/>
      </w:rPr>
    </w:pPr>
    <w:r>
      <w:rPr>
        <w:sz w:val="16"/>
        <w:szCs w:val="20"/>
      </w:rPr>
      <w:pict w14:anchorId="2C00E0B0">
        <v:rect id="_x0000_i1025" style="width:0;height:1.5pt" o:hralign="center" o:hrstd="t" o:hr="t" fillcolor="#a0a0a0" stroked="f"/>
      </w:pict>
    </w:r>
  </w:p>
  <w:p w14:paraId="6BB041D1" w14:textId="77777777" w:rsidR="00156664" w:rsidRDefault="00156664" w:rsidP="00156664">
    <w:pPr>
      <w:pStyle w:val="Footer"/>
      <w:jc w:val="center"/>
      <w:rPr>
        <w:sz w:val="16"/>
        <w:szCs w:val="20"/>
      </w:rPr>
    </w:pPr>
  </w:p>
  <w:p w14:paraId="1202F138" w14:textId="24EB2326" w:rsidR="00AC5026" w:rsidRPr="00AC5026" w:rsidRDefault="00AC5026" w:rsidP="00156664">
    <w:pPr>
      <w:pStyle w:val="Footer"/>
      <w:jc w:val="center"/>
    </w:pPr>
    <w:r w:rsidRPr="00AC5026">
      <w:fldChar w:fldCharType="begin"/>
    </w:r>
    <w:r w:rsidRPr="00AC5026">
      <w:instrText xml:space="preserve"> PAGE   \* MERGEFORMAT </w:instrText>
    </w:r>
    <w:r w:rsidRPr="00AC5026">
      <w:fldChar w:fldCharType="separate"/>
    </w:r>
    <w:r w:rsidRPr="00AC5026">
      <w:t>2</w:t>
    </w:r>
    <w:r w:rsidRPr="00AC5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BC5E" w14:textId="23325ACF" w:rsidR="00156664" w:rsidRDefault="005971D8" w:rsidP="00156664">
    <w:pPr>
      <w:pStyle w:val="Footer"/>
      <w:tabs>
        <w:tab w:val="clear" w:pos="9638"/>
        <w:tab w:val="left" w:pos="1515"/>
      </w:tabs>
      <w:rPr>
        <w:sz w:val="16"/>
        <w:szCs w:val="20"/>
      </w:rPr>
    </w:pPr>
    <w:r w:rsidRPr="00317354">
      <w:rPr>
        <w:noProof/>
      </w:rPr>
      <w:drawing>
        <wp:anchor distT="0" distB="0" distL="114300" distR="114300" simplePos="0" relativeHeight="251663872" behindDoc="1" locked="0" layoutInCell="1" allowOverlap="1" wp14:anchorId="4917CC61" wp14:editId="5C934893">
          <wp:simplePos x="0" y="0"/>
          <wp:positionH relativeFrom="column">
            <wp:posOffset>-24765</wp:posOffset>
          </wp:positionH>
          <wp:positionV relativeFrom="paragraph">
            <wp:posOffset>-157480</wp:posOffset>
          </wp:positionV>
          <wp:extent cx="6400800" cy="905256"/>
          <wp:effectExtent l="0" t="0" r="0" b="9525"/>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6400800" cy="905256"/>
                  </a:xfrm>
                  <a:prstGeom prst="rect">
                    <a:avLst/>
                  </a:prstGeom>
                </pic:spPr>
              </pic:pic>
            </a:graphicData>
          </a:graphic>
          <wp14:sizeRelH relativeFrom="margin">
            <wp14:pctWidth>0</wp14:pctWidth>
          </wp14:sizeRelH>
          <wp14:sizeRelV relativeFrom="margin">
            <wp14:pctHeight>0</wp14:pctHeight>
          </wp14:sizeRelV>
        </wp:anchor>
      </w:drawing>
    </w:r>
  </w:p>
  <w:p w14:paraId="4C704E90" w14:textId="77777777" w:rsidR="00156664" w:rsidRDefault="00156664" w:rsidP="00156664">
    <w:pPr>
      <w:pStyle w:val="Footer"/>
      <w:tabs>
        <w:tab w:val="clear" w:pos="9638"/>
      </w:tabs>
      <w:jc w:val="center"/>
      <w:rPr>
        <w:sz w:val="16"/>
        <w:szCs w:val="18"/>
      </w:rPr>
    </w:pPr>
  </w:p>
  <w:p w14:paraId="01A734DC" w14:textId="3BD9878F" w:rsidR="005971D8" w:rsidRPr="00317354" w:rsidRDefault="005971D8" w:rsidP="005971D8">
    <w:pPr>
      <w:pStyle w:val="Footer"/>
      <w:tabs>
        <w:tab w:val="clear" w:pos="9638"/>
        <w:tab w:val="left" w:pos="1515"/>
      </w:tabs>
    </w:pPr>
    <w:r>
      <w:t>June</w:t>
    </w:r>
    <w:r w:rsidRPr="00317354">
      <w:t xml:space="preserve"> 2025</w:t>
    </w:r>
  </w:p>
  <w:p w14:paraId="2E0881FD" w14:textId="6AF7040C" w:rsidR="00156664" w:rsidRPr="00156664" w:rsidRDefault="00156664" w:rsidP="005971D8">
    <w:pPr>
      <w:pStyle w:val="Footer"/>
      <w:tabs>
        <w:tab w:val="clear" w:pos="9638"/>
      </w:tabs>
      <w:jc w:val="center"/>
      <w:rPr>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BBF03" w14:textId="77777777" w:rsidR="00FE5F18" w:rsidRDefault="00FE5F18">
      <w:r>
        <w:separator/>
      </w:r>
    </w:p>
  </w:footnote>
  <w:footnote w:type="continuationSeparator" w:id="0">
    <w:p w14:paraId="3270CACB" w14:textId="77777777" w:rsidR="00FE5F18" w:rsidRDefault="00FE5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3B28E" w14:textId="77777777" w:rsidR="005971D8" w:rsidRDefault="005971D8" w:rsidP="005971D8">
    <w:pPr>
      <w:pStyle w:val="Header"/>
    </w:pPr>
    <w:r>
      <w:t>$1500 boost for extracurricular activities FAQs for child safety staff</w:t>
    </w:r>
  </w:p>
  <w:p w14:paraId="0C29A594" w14:textId="77777777" w:rsidR="00722F38" w:rsidRDefault="00722F38">
    <w:pPr>
      <w:pStyle w:val="Header"/>
    </w:pPr>
  </w:p>
  <w:p w14:paraId="7FE2E78B" w14:textId="77777777" w:rsidR="00156664" w:rsidRDefault="001566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72BE" w14:textId="568BBD47" w:rsidR="00E75DC9" w:rsidRDefault="00156664">
    <w:pPr>
      <w:pStyle w:val="Header"/>
    </w:pPr>
    <w:r>
      <w:rPr>
        <w:noProof/>
      </w:rPr>
      <w:drawing>
        <wp:anchor distT="0" distB="0" distL="114300" distR="114300" simplePos="0" relativeHeight="251661824" behindDoc="1" locked="1" layoutInCell="1" allowOverlap="1" wp14:anchorId="49E939BD" wp14:editId="40A17582">
          <wp:simplePos x="0" y="0"/>
          <wp:positionH relativeFrom="column">
            <wp:posOffset>-733425</wp:posOffset>
          </wp:positionH>
          <wp:positionV relativeFrom="page">
            <wp:posOffset>-17145</wp:posOffset>
          </wp:positionV>
          <wp:extent cx="7559675" cy="1205865"/>
          <wp:effectExtent l="0" t="0" r="0" b="635"/>
          <wp:wrapNone/>
          <wp:docPr id="506454281" name="Picture 1" descr="Green background with department name and 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908690" name="Picture 1" descr="Green background with department name and motif"/>
                  <pic:cNvPicPr/>
                </pic:nvPicPr>
                <pic:blipFill>
                  <a:blip r:embed="rId1"/>
                  <a:stretch>
                    <a:fillRect/>
                  </a:stretch>
                </pic:blipFill>
                <pic:spPr>
                  <a:xfrm>
                    <a:off x="0" y="0"/>
                    <a:ext cx="7559675"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6067E6"/>
    <w:multiLevelType w:val="hybridMultilevel"/>
    <w:tmpl w:val="47D4D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AF051C"/>
    <w:multiLevelType w:val="hybridMultilevel"/>
    <w:tmpl w:val="D9A07B74"/>
    <w:lvl w:ilvl="0" w:tplc="385A5576">
      <w:numFmt w:val="bullet"/>
      <w:lvlText w:val=""/>
      <w:lvlJc w:val="left"/>
      <w:pPr>
        <w:ind w:left="720" w:hanging="360"/>
      </w:pPr>
      <w:rPr>
        <w:rFonts w:ascii="Symbol" w:eastAsia="Aptos"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3AE2288"/>
    <w:multiLevelType w:val="hybridMultilevel"/>
    <w:tmpl w:val="DA0A577C"/>
    <w:lvl w:ilvl="0" w:tplc="18B43716">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7D21D6"/>
    <w:multiLevelType w:val="hybridMultilevel"/>
    <w:tmpl w:val="7CE4A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1750224574">
    <w:abstractNumId w:val="10"/>
  </w:num>
  <w:num w:numId="12" w16cid:durableId="1538346511">
    <w:abstractNumId w:val="13"/>
  </w:num>
  <w:num w:numId="13" w16cid:durableId="255216044">
    <w:abstractNumId w:val="12"/>
  </w:num>
  <w:num w:numId="14" w16cid:durableId="12284166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formatting="1" w:enforcement="1" w:cryptProviderType="rsaAES" w:cryptAlgorithmClass="hash" w:cryptAlgorithmType="typeAny" w:cryptAlgorithmSid="14" w:cryptSpinCount="100000" w:hash="iASDuBdJ7xaQnZGuKXP4ADHIkewvqv+bjcqak1Ahsg/3pOkwAkquICOCCBn+TbqAUDq3tP2cOCauy4oXehcWUw==" w:salt="MUIUr3gSwlCQWc/8NhDwG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2483"/>
    <w:rsid w:val="00005B69"/>
    <w:rsid w:val="00005F2E"/>
    <w:rsid w:val="00006DEA"/>
    <w:rsid w:val="00010B78"/>
    <w:rsid w:val="0001147A"/>
    <w:rsid w:val="000119C1"/>
    <w:rsid w:val="00012064"/>
    <w:rsid w:val="00013EDB"/>
    <w:rsid w:val="00014907"/>
    <w:rsid w:val="00014D8B"/>
    <w:rsid w:val="0001502E"/>
    <w:rsid w:val="000156A3"/>
    <w:rsid w:val="000156D7"/>
    <w:rsid w:val="00016A30"/>
    <w:rsid w:val="00020AE5"/>
    <w:rsid w:val="0002320A"/>
    <w:rsid w:val="00023A01"/>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46A"/>
    <w:rsid w:val="00055EA0"/>
    <w:rsid w:val="000570F3"/>
    <w:rsid w:val="000572E9"/>
    <w:rsid w:val="000610EA"/>
    <w:rsid w:val="00061396"/>
    <w:rsid w:val="00061A7A"/>
    <w:rsid w:val="00062951"/>
    <w:rsid w:val="00063C96"/>
    <w:rsid w:val="00063F4D"/>
    <w:rsid w:val="000654DB"/>
    <w:rsid w:val="00065B95"/>
    <w:rsid w:val="000672BD"/>
    <w:rsid w:val="00070336"/>
    <w:rsid w:val="000708C2"/>
    <w:rsid w:val="00073EFB"/>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C6C3C"/>
    <w:rsid w:val="000C79C1"/>
    <w:rsid w:val="000D04E0"/>
    <w:rsid w:val="000D0827"/>
    <w:rsid w:val="000D0974"/>
    <w:rsid w:val="000D19B1"/>
    <w:rsid w:val="000D3398"/>
    <w:rsid w:val="000D5B90"/>
    <w:rsid w:val="000E3449"/>
    <w:rsid w:val="000E3837"/>
    <w:rsid w:val="000E4020"/>
    <w:rsid w:val="000E498B"/>
    <w:rsid w:val="000E69DA"/>
    <w:rsid w:val="000E6FD8"/>
    <w:rsid w:val="000E72FB"/>
    <w:rsid w:val="000F0D16"/>
    <w:rsid w:val="000F11AC"/>
    <w:rsid w:val="000F2B0E"/>
    <w:rsid w:val="000F4320"/>
    <w:rsid w:val="000F5701"/>
    <w:rsid w:val="000F5DE0"/>
    <w:rsid w:val="000F6625"/>
    <w:rsid w:val="00100220"/>
    <w:rsid w:val="0010131D"/>
    <w:rsid w:val="00102380"/>
    <w:rsid w:val="001023B6"/>
    <w:rsid w:val="00103E62"/>
    <w:rsid w:val="0010628E"/>
    <w:rsid w:val="00106CAC"/>
    <w:rsid w:val="00107E70"/>
    <w:rsid w:val="0011106E"/>
    <w:rsid w:val="0011517B"/>
    <w:rsid w:val="00115766"/>
    <w:rsid w:val="00115E04"/>
    <w:rsid w:val="00117319"/>
    <w:rsid w:val="0011733F"/>
    <w:rsid w:val="001173AF"/>
    <w:rsid w:val="00122E0D"/>
    <w:rsid w:val="0012336C"/>
    <w:rsid w:val="00124486"/>
    <w:rsid w:val="00125A9E"/>
    <w:rsid w:val="00127308"/>
    <w:rsid w:val="00130032"/>
    <w:rsid w:val="00130C1C"/>
    <w:rsid w:val="00133095"/>
    <w:rsid w:val="0013414A"/>
    <w:rsid w:val="0013444A"/>
    <w:rsid w:val="00135734"/>
    <w:rsid w:val="0013646B"/>
    <w:rsid w:val="001420F3"/>
    <w:rsid w:val="00142536"/>
    <w:rsid w:val="0014308D"/>
    <w:rsid w:val="001432B5"/>
    <w:rsid w:val="00144301"/>
    <w:rsid w:val="001505BB"/>
    <w:rsid w:val="00150B3B"/>
    <w:rsid w:val="001520A7"/>
    <w:rsid w:val="00152969"/>
    <w:rsid w:val="001529A3"/>
    <w:rsid w:val="00153398"/>
    <w:rsid w:val="0015407F"/>
    <w:rsid w:val="00154CAD"/>
    <w:rsid w:val="00156664"/>
    <w:rsid w:val="00156F03"/>
    <w:rsid w:val="00157471"/>
    <w:rsid w:val="001576CB"/>
    <w:rsid w:val="001605F2"/>
    <w:rsid w:val="001608EA"/>
    <w:rsid w:val="00160B49"/>
    <w:rsid w:val="001622E8"/>
    <w:rsid w:val="001625AA"/>
    <w:rsid w:val="0016302C"/>
    <w:rsid w:val="0016374B"/>
    <w:rsid w:val="00163B6E"/>
    <w:rsid w:val="00163D90"/>
    <w:rsid w:val="001643CE"/>
    <w:rsid w:val="0016452F"/>
    <w:rsid w:val="00164542"/>
    <w:rsid w:val="00164E8A"/>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92DC3"/>
    <w:rsid w:val="001976A1"/>
    <w:rsid w:val="001A1697"/>
    <w:rsid w:val="001A18B0"/>
    <w:rsid w:val="001A2237"/>
    <w:rsid w:val="001A29E7"/>
    <w:rsid w:val="001A3659"/>
    <w:rsid w:val="001A37C0"/>
    <w:rsid w:val="001A616B"/>
    <w:rsid w:val="001A7262"/>
    <w:rsid w:val="001B36FF"/>
    <w:rsid w:val="001B38C4"/>
    <w:rsid w:val="001B3BB6"/>
    <w:rsid w:val="001B42DD"/>
    <w:rsid w:val="001B4D10"/>
    <w:rsid w:val="001B6EAC"/>
    <w:rsid w:val="001B7FD2"/>
    <w:rsid w:val="001C0B09"/>
    <w:rsid w:val="001C213E"/>
    <w:rsid w:val="001C47C9"/>
    <w:rsid w:val="001C5775"/>
    <w:rsid w:val="001C7A7C"/>
    <w:rsid w:val="001D15F1"/>
    <w:rsid w:val="001D1D3D"/>
    <w:rsid w:val="001D234D"/>
    <w:rsid w:val="001D26D7"/>
    <w:rsid w:val="001D5559"/>
    <w:rsid w:val="001D7B03"/>
    <w:rsid w:val="001E043D"/>
    <w:rsid w:val="001E3A02"/>
    <w:rsid w:val="001E4ED6"/>
    <w:rsid w:val="001E5C4C"/>
    <w:rsid w:val="001E67EB"/>
    <w:rsid w:val="001E6881"/>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06A5E"/>
    <w:rsid w:val="002140B9"/>
    <w:rsid w:val="002203A6"/>
    <w:rsid w:val="00223140"/>
    <w:rsid w:val="002250C9"/>
    <w:rsid w:val="00225CEC"/>
    <w:rsid w:val="00226951"/>
    <w:rsid w:val="00226BFA"/>
    <w:rsid w:val="00226D91"/>
    <w:rsid w:val="00230F7C"/>
    <w:rsid w:val="002313BE"/>
    <w:rsid w:val="002314C8"/>
    <w:rsid w:val="00232FAE"/>
    <w:rsid w:val="00233842"/>
    <w:rsid w:val="00234730"/>
    <w:rsid w:val="00234764"/>
    <w:rsid w:val="002358C4"/>
    <w:rsid w:val="00235B68"/>
    <w:rsid w:val="002401A7"/>
    <w:rsid w:val="00240804"/>
    <w:rsid w:val="00240EC4"/>
    <w:rsid w:val="00241526"/>
    <w:rsid w:val="00245995"/>
    <w:rsid w:val="00246052"/>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8F7"/>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4536"/>
    <w:rsid w:val="00295094"/>
    <w:rsid w:val="0029647F"/>
    <w:rsid w:val="00296B22"/>
    <w:rsid w:val="00296C2A"/>
    <w:rsid w:val="00297184"/>
    <w:rsid w:val="00297EBF"/>
    <w:rsid w:val="002A0C3C"/>
    <w:rsid w:val="002A1021"/>
    <w:rsid w:val="002A25BB"/>
    <w:rsid w:val="002A2E49"/>
    <w:rsid w:val="002A3AFE"/>
    <w:rsid w:val="002A4350"/>
    <w:rsid w:val="002A4C11"/>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0E91"/>
    <w:rsid w:val="002D2876"/>
    <w:rsid w:val="002D4343"/>
    <w:rsid w:val="002D5AE6"/>
    <w:rsid w:val="002D692E"/>
    <w:rsid w:val="002D6A05"/>
    <w:rsid w:val="002D7384"/>
    <w:rsid w:val="002D7630"/>
    <w:rsid w:val="002D7E4C"/>
    <w:rsid w:val="002E05C6"/>
    <w:rsid w:val="002E1227"/>
    <w:rsid w:val="002E124C"/>
    <w:rsid w:val="002E189C"/>
    <w:rsid w:val="002E3144"/>
    <w:rsid w:val="002E35AE"/>
    <w:rsid w:val="002E369C"/>
    <w:rsid w:val="002E3AB9"/>
    <w:rsid w:val="002E407F"/>
    <w:rsid w:val="002E67FA"/>
    <w:rsid w:val="002E72D0"/>
    <w:rsid w:val="002F03C8"/>
    <w:rsid w:val="002F05F6"/>
    <w:rsid w:val="002F06F7"/>
    <w:rsid w:val="002F0A8B"/>
    <w:rsid w:val="002F7B19"/>
    <w:rsid w:val="00301DBF"/>
    <w:rsid w:val="00302A75"/>
    <w:rsid w:val="00303143"/>
    <w:rsid w:val="003035B2"/>
    <w:rsid w:val="003039A9"/>
    <w:rsid w:val="00303B02"/>
    <w:rsid w:val="00303DDD"/>
    <w:rsid w:val="00306366"/>
    <w:rsid w:val="00306C23"/>
    <w:rsid w:val="00310794"/>
    <w:rsid w:val="00311541"/>
    <w:rsid w:val="00311BAB"/>
    <w:rsid w:val="00311DA3"/>
    <w:rsid w:val="0031271C"/>
    <w:rsid w:val="00313BE3"/>
    <w:rsid w:val="00317354"/>
    <w:rsid w:val="00317A94"/>
    <w:rsid w:val="00317B8E"/>
    <w:rsid w:val="00321A4F"/>
    <w:rsid w:val="00322263"/>
    <w:rsid w:val="00322C3D"/>
    <w:rsid w:val="00323C8B"/>
    <w:rsid w:val="0032578E"/>
    <w:rsid w:val="00325B61"/>
    <w:rsid w:val="003260FE"/>
    <w:rsid w:val="00326E26"/>
    <w:rsid w:val="0033480A"/>
    <w:rsid w:val="00335C4E"/>
    <w:rsid w:val="00335E8D"/>
    <w:rsid w:val="00336B67"/>
    <w:rsid w:val="003434D6"/>
    <w:rsid w:val="00343A95"/>
    <w:rsid w:val="0034438C"/>
    <w:rsid w:val="00344A78"/>
    <w:rsid w:val="00344DB7"/>
    <w:rsid w:val="00346B55"/>
    <w:rsid w:val="00346C84"/>
    <w:rsid w:val="003526F8"/>
    <w:rsid w:val="00354795"/>
    <w:rsid w:val="00355BA9"/>
    <w:rsid w:val="0035627A"/>
    <w:rsid w:val="003576A5"/>
    <w:rsid w:val="00357C81"/>
    <w:rsid w:val="0036015C"/>
    <w:rsid w:val="00361955"/>
    <w:rsid w:val="0036295B"/>
    <w:rsid w:val="00364DBE"/>
    <w:rsid w:val="00365D84"/>
    <w:rsid w:val="00366F86"/>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6F2A"/>
    <w:rsid w:val="00387977"/>
    <w:rsid w:val="00387E72"/>
    <w:rsid w:val="00390213"/>
    <w:rsid w:val="00390F37"/>
    <w:rsid w:val="00391DFA"/>
    <w:rsid w:val="00393B3D"/>
    <w:rsid w:val="00393B64"/>
    <w:rsid w:val="00394A26"/>
    <w:rsid w:val="00394CE2"/>
    <w:rsid w:val="00396429"/>
    <w:rsid w:val="003975E5"/>
    <w:rsid w:val="003A080A"/>
    <w:rsid w:val="003A0968"/>
    <w:rsid w:val="003A0C94"/>
    <w:rsid w:val="003A1480"/>
    <w:rsid w:val="003A1BD5"/>
    <w:rsid w:val="003A2839"/>
    <w:rsid w:val="003A2B7C"/>
    <w:rsid w:val="003A37BE"/>
    <w:rsid w:val="003A3B06"/>
    <w:rsid w:val="003A4A8D"/>
    <w:rsid w:val="003A4EB2"/>
    <w:rsid w:val="003A50C7"/>
    <w:rsid w:val="003A53E4"/>
    <w:rsid w:val="003A6B6C"/>
    <w:rsid w:val="003A6C0E"/>
    <w:rsid w:val="003A713B"/>
    <w:rsid w:val="003A7E49"/>
    <w:rsid w:val="003B032E"/>
    <w:rsid w:val="003B07F1"/>
    <w:rsid w:val="003B1815"/>
    <w:rsid w:val="003B3748"/>
    <w:rsid w:val="003B3D4E"/>
    <w:rsid w:val="003B3FBC"/>
    <w:rsid w:val="003B47F3"/>
    <w:rsid w:val="003B4B4E"/>
    <w:rsid w:val="003B56EE"/>
    <w:rsid w:val="003B5E6B"/>
    <w:rsid w:val="003B689E"/>
    <w:rsid w:val="003B6BA3"/>
    <w:rsid w:val="003B6F4B"/>
    <w:rsid w:val="003C0FC6"/>
    <w:rsid w:val="003C247B"/>
    <w:rsid w:val="003C3165"/>
    <w:rsid w:val="003C3299"/>
    <w:rsid w:val="003C3864"/>
    <w:rsid w:val="003C558F"/>
    <w:rsid w:val="003C5F49"/>
    <w:rsid w:val="003C62C9"/>
    <w:rsid w:val="003D1997"/>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680"/>
    <w:rsid w:val="003F12D9"/>
    <w:rsid w:val="003F23A0"/>
    <w:rsid w:val="003F43AA"/>
    <w:rsid w:val="003F5FFA"/>
    <w:rsid w:val="003F6637"/>
    <w:rsid w:val="003F6DD6"/>
    <w:rsid w:val="003F732D"/>
    <w:rsid w:val="003F7835"/>
    <w:rsid w:val="003F78B9"/>
    <w:rsid w:val="00404398"/>
    <w:rsid w:val="00404BF2"/>
    <w:rsid w:val="0040542C"/>
    <w:rsid w:val="00405BBC"/>
    <w:rsid w:val="00405FA8"/>
    <w:rsid w:val="00407088"/>
    <w:rsid w:val="00407B5D"/>
    <w:rsid w:val="0041018F"/>
    <w:rsid w:val="00410CD9"/>
    <w:rsid w:val="00413BFD"/>
    <w:rsid w:val="004160F7"/>
    <w:rsid w:val="00416834"/>
    <w:rsid w:val="00417CC1"/>
    <w:rsid w:val="004200C6"/>
    <w:rsid w:val="004203CF"/>
    <w:rsid w:val="0042192A"/>
    <w:rsid w:val="004231AC"/>
    <w:rsid w:val="00423575"/>
    <w:rsid w:val="00423825"/>
    <w:rsid w:val="00425FA4"/>
    <w:rsid w:val="00427E72"/>
    <w:rsid w:val="00430015"/>
    <w:rsid w:val="004301CC"/>
    <w:rsid w:val="004313A1"/>
    <w:rsid w:val="00431A11"/>
    <w:rsid w:val="00431D35"/>
    <w:rsid w:val="0043226F"/>
    <w:rsid w:val="00433F9B"/>
    <w:rsid w:val="004346FA"/>
    <w:rsid w:val="00435490"/>
    <w:rsid w:val="0043550B"/>
    <w:rsid w:val="00435529"/>
    <w:rsid w:val="004366A2"/>
    <w:rsid w:val="004373B4"/>
    <w:rsid w:val="0044090A"/>
    <w:rsid w:val="00441907"/>
    <w:rsid w:val="00441A36"/>
    <w:rsid w:val="00443858"/>
    <w:rsid w:val="00443AB1"/>
    <w:rsid w:val="00445F7F"/>
    <w:rsid w:val="004477E4"/>
    <w:rsid w:val="00450E5B"/>
    <w:rsid w:val="00452285"/>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67BCA"/>
    <w:rsid w:val="004713FE"/>
    <w:rsid w:val="004721A1"/>
    <w:rsid w:val="0047419E"/>
    <w:rsid w:val="00476B61"/>
    <w:rsid w:val="00477A11"/>
    <w:rsid w:val="004802BB"/>
    <w:rsid w:val="0048169E"/>
    <w:rsid w:val="00481C76"/>
    <w:rsid w:val="00484BD9"/>
    <w:rsid w:val="00486191"/>
    <w:rsid w:val="004863D7"/>
    <w:rsid w:val="004902B8"/>
    <w:rsid w:val="00491FBA"/>
    <w:rsid w:val="00492082"/>
    <w:rsid w:val="00492E4D"/>
    <w:rsid w:val="004952AC"/>
    <w:rsid w:val="00495E9E"/>
    <w:rsid w:val="00495F66"/>
    <w:rsid w:val="00497988"/>
    <w:rsid w:val="004A126A"/>
    <w:rsid w:val="004A1A9B"/>
    <w:rsid w:val="004A1F0B"/>
    <w:rsid w:val="004A2D30"/>
    <w:rsid w:val="004A2D31"/>
    <w:rsid w:val="004A2F0B"/>
    <w:rsid w:val="004B2634"/>
    <w:rsid w:val="004B2771"/>
    <w:rsid w:val="004B27C9"/>
    <w:rsid w:val="004B2A87"/>
    <w:rsid w:val="004B6A66"/>
    <w:rsid w:val="004C1A5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33ED"/>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390D"/>
    <w:rsid w:val="00514BEE"/>
    <w:rsid w:val="005155D3"/>
    <w:rsid w:val="00515CD9"/>
    <w:rsid w:val="00515F08"/>
    <w:rsid w:val="005168B7"/>
    <w:rsid w:val="005168B9"/>
    <w:rsid w:val="00517441"/>
    <w:rsid w:val="0051797B"/>
    <w:rsid w:val="00517D59"/>
    <w:rsid w:val="005214B5"/>
    <w:rsid w:val="00521762"/>
    <w:rsid w:val="00521C0C"/>
    <w:rsid w:val="00522CC0"/>
    <w:rsid w:val="005249BA"/>
    <w:rsid w:val="00524DC3"/>
    <w:rsid w:val="00525D97"/>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0180"/>
    <w:rsid w:val="00541633"/>
    <w:rsid w:val="005420A2"/>
    <w:rsid w:val="0054232E"/>
    <w:rsid w:val="00542E90"/>
    <w:rsid w:val="00542FA6"/>
    <w:rsid w:val="0054338B"/>
    <w:rsid w:val="00543E42"/>
    <w:rsid w:val="00545397"/>
    <w:rsid w:val="005458E1"/>
    <w:rsid w:val="00545C9B"/>
    <w:rsid w:val="0054609D"/>
    <w:rsid w:val="005460D0"/>
    <w:rsid w:val="00547A43"/>
    <w:rsid w:val="00551E8E"/>
    <w:rsid w:val="00551F9A"/>
    <w:rsid w:val="005523D4"/>
    <w:rsid w:val="00552B35"/>
    <w:rsid w:val="00554340"/>
    <w:rsid w:val="00555DA1"/>
    <w:rsid w:val="00555EEE"/>
    <w:rsid w:val="0055698C"/>
    <w:rsid w:val="00557939"/>
    <w:rsid w:val="0055795F"/>
    <w:rsid w:val="005604E8"/>
    <w:rsid w:val="00560F1A"/>
    <w:rsid w:val="00561458"/>
    <w:rsid w:val="0056187A"/>
    <w:rsid w:val="00561CBA"/>
    <w:rsid w:val="00562BBB"/>
    <w:rsid w:val="0056370B"/>
    <w:rsid w:val="0056381D"/>
    <w:rsid w:val="005655FC"/>
    <w:rsid w:val="00565693"/>
    <w:rsid w:val="00565B18"/>
    <w:rsid w:val="00566686"/>
    <w:rsid w:val="00566733"/>
    <w:rsid w:val="005672CC"/>
    <w:rsid w:val="00567703"/>
    <w:rsid w:val="005700DD"/>
    <w:rsid w:val="00570FBE"/>
    <w:rsid w:val="00573032"/>
    <w:rsid w:val="005774B2"/>
    <w:rsid w:val="00577583"/>
    <w:rsid w:val="0057782F"/>
    <w:rsid w:val="005800C0"/>
    <w:rsid w:val="00580FCF"/>
    <w:rsid w:val="00583995"/>
    <w:rsid w:val="00585815"/>
    <w:rsid w:val="00586A1C"/>
    <w:rsid w:val="00587104"/>
    <w:rsid w:val="005874CA"/>
    <w:rsid w:val="005907C1"/>
    <w:rsid w:val="00590D0C"/>
    <w:rsid w:val="005918DF"/>
    <w:rsid w:val="00592779"/>
    <w:rsid w:val="00592C1A"/>
    <w:rsid w:val="005955DB"/>
    <w:rsid w:val="00596AA7"/>
    <w:rsid w:val="005971D8"/>
    <w:rsid w:val="005A1B95"/>
    <w:rsid w:val="005A21C3"/>
    <w:rsid w:val="005A358A"/>
    <w:rsid w:val="005A4518"/>
    <w:rsid w:val="005A57B3"/>
    <w:rsid w:val="005A5A79"/>
    <w:rsid w:val="005A64D3"/>
    <w:rsid w:val="005A69A9"/>
    <w:rsid w:val="005B04B2"/>
    <w:rsid w:val="005B09E5"/>
    <w:rsid w:val="005B29F6"/>
    <w:rsid w:val="005B3392"/>
    <w:rsid w:val="005B3427"/>
    <w:rsid w:val="005B3C68"/>
    <w:rsid w:val="005B4861"/>
    <w:rsid w:val="005B4B35"/>
    <w:rsid w:val="005B4CFC"/>
    <w:rsid w:val="005B4F19"/>
    <w:rsid w:val="005B5215"/>
    <w:rsid w:val="005C1A26"/>
    <w:rsid w:val="005C36AF"/>
    <w:rsid w:val="005C3877"/>
    <w:rsid w:val="005C49CC"/>
    <w:rsid w:val="005C610E"/>
    <w:rsid w:val="005C6478"/>
    <w:rsid w:val="005C6D12"/>
    <w:rsid w:val="005C6E87"/>
    <w:rsid w:val="005C79F6"/>
    <w:rsid w:val="005D2EDE"/>
    <w:rsid w:val="005D5996"/>
    <w:rsid w:val="005D64E0"/>
    <w:rsid w:val="005D6DBA"/>
    <w:rsid w:val="005D6F9D"/>
    <w:rsid w:val="005D7494"/>
    <w:rsid w:val="005D7565"/>
    <w:rsid w:val="005E171C"/>
    <w:rsid w:val="005E2C05"/>
    <w:rsid w:val="005E3DAD"/>
    <w:rsid w:val="005E6573"/>
    <w:rsid w:val="005E7084"/>
    <w:rsid w:val="005E73B1"/>
    <w:rsid w:val="005F3D14"/>
    <w:rsid w:val="005F3EC6"/>
    <w:rsid w:val="005F41E0"/>
    <w:rsid w:val="005F4CE5"/>
    <w:rsid w:val="005F63A3"/>
    <w:rsid w:val="00600712"/>
    <w:rsid w:val="00600756"/>
    <w:rsid w:val="00601653"/>
    <w:rsid w:val="0060340E"/>
    <w:rsid w:val="00603543"/>
    <w:rsid w:val="006044EF"/>
    <w:rsid w:val="00604F89"/>
    <w:rsid w:val="00605A82"/>
    <w:rsid w:val="006063A3"/>
    <w:rsid w:val="006064FC"/>
    <w:rsid w:val="006067E8"/>
    <w:rsid w:val="00607F6D"/>
    <w:rsid w:val="00610A98"/>
    <w:rsid w:val="00610BDE"/>
    <w:rsid w:val="00611BE9"/>
    <w:rsid w:val="00612F03"/>
    <w:rsid w:val="00613947"/>
    <w:rsid w:val="00614127"/>
    <w:rsid w:val="0061496E"/>
    <w:rsid w:val="00614D06"/>
    <w:rsid w:val="00615328"/>
    <w:rsid w:val="00621815"/>
    <w:rsid w:val="0062185B"/>
    <w:rsid w:val="0062267C"/>
    <w:rsid w:val="00623463"/>
    <w:rsid w:val="0062449B"/>
    <w:rsid w:val="006247E7"/>
    <w:rsid w:val="006250D4"/>
    <w:rsid w:val="00627C93"/>
    <w:rsid w:val="00630634"/>
    <w:rsid w:val="00632F8F"/>
    <w:rsid w:val="00633B9B"/>
    <w:rsid w:val="00633CAB"/>
    <w:rsid w:val="00635F8E"/>
    <w:rsid w:val="0063788F"/>
    <w:rsid w:val="00640862"/>
    <w:rsid w:val="00640F77"/>
    <w:rsid w:val="006410C2"/>
    <w:rsid w:val="006430C4"/>
    <w:rsid w:val="006443F5"/>
    <w:rsid w:val="0064525C"/>
    <w:rsid w:val="00650723"/>
    <w:rsid w:val="00650B89"/>
    <w:rsid w:val="00652F12"/>
    <w:rsid w:val="00654153"/>
    <w:rsid w:val="0065517D"/>
    <w:rsid w:val="006563E8"/>
    <w:rsid w:val="0065671E"/>
    <w:rsid w:val="006609C0"/>
    <w:rsid w:val="00660F23"/>
    <w:rsid w:val="00661A6C"/>
    <w:rsid w:val="00662DB3"/>
    <w:rsid w:val="00663773"/>
    <w:rsid w:val="00663FD5"/>
    <w:rsid w:val="00665207"/>
    <w:rsid w:val="0066689B"/>
    <w:rsid w:val="00666D90"/>
    <w:rsid w:val="0066728C"/>
    <w:rsid w:val="006705CF"/>
    <w:rsid w:val="006731D5"/>
    <w:rsid w:val="00673FDF"/>
    <w:rsid w:val="00676CAF"/>
    <w:rsid w:val="006771E9"/>
    <w:rsid w:val="0067778E"/>
    <w:rsid w:val="00680461"/>
    <w:rsid w:val="006804DF"/>
    <w:rsid w:val="00680E08"/>
    <w:rsid w:val="006839CE"/>
    <w:rsid w:val="00683F46"/>
    <w:rsid w:val="00684D10"/>
    <w:rsid w:val="00685DEE"/>
    <w:rsid w:val="00687024"/>
    <w:rsid w:val="00687A7A"/>
    <w:rsid w:val="00692A07"/>
    <w:rsid w:val="00693AE4"/>
    <w:rsid w:val="006953F5"/>
    <w:rsid w:val="00696638"/>
    <w:rsid w:val="00697AFF"/>
    <w:rsid w:val="006A06BD"/>
    <w:rsid w:val="006A1FE2"/>
    <w:rsid w:val="006A2B45"/>
    <w:rsid w:val="006A3FA7"/>
    <w:rsid w:val="006A5B16"/>
    <w:rsid w:val="006A60DB"/>
    <w:rsid w:val="006A6CB1"/>
    <w:rsid w:val="006A71BD"/>
    <w:rsid w:val="006A7C14"/>
    <w:rsid w:val="006B02EC"/>
    <w:rsid w:val="006B0DA8"/>
    <w:rsid w:val="006B1CFF"/>
    <w:rsid w:val="006B2C65"/>
    <w:rsid w:val="006B2F0B"/>
    <w:rsid w:val="006B38CE"/>
    <w:rsid w:val="006B4416"/>
    <w:rsid w:val="006B5B47"/>
    <w:rsid w:val="006B5F51"/>
    <w:rsid w:val="006B7E8F"/>
    <w:rsid w:val="006C18D7"/>
    <w:rsid w:val="006C2167"/>
    <w:rsid w:val="006C402E"/>
    <w:rsid w:val="006C4FBC"/>
    <w:rsid w:val="006C6050"/>
    <w:rsid w:val="006C6530"/>
    <w:rsid w:val="006C72BB"/>
    <w:rsid w:val="006D0FBE"/>
    <w:rsid w:val="006D140B"/>
    <w:rsid w:val="006D1812"/>
    <w:rsid w:val="006D2809"/>
    <w:rsid w:val="006D3682"/>
    <w:rsid w:val="006D436E"/>
    <w:rsid w:val="006D45D6"/>
    <w:rsid w:val="006D6129"/>
    <w:rsid w:val="006D68E6"/>
    <w:rsid w:val="006E0367"/>
    <w:rsid w:val="006E0469"/>
    <w:rsid w:val="006E171A"/>
    <w:rsid w:val="006E1BEE"/>
    <w:rsid w:val="006E2EA3"/>
    <w:rsid w:val="006E3EBA"/>
    <w:rsid w:val="006E609F"/>
    <w:rsid w:val="006E6A62"/>
    <w:rsid w:val="006E7743"/>
    <w:rsid w:val="006F04D3"/>
    <w:rsid w:val="006F1E9A"/>
    <w:rsid w:val="006F263D"/>
    <w:rsid w:val="006F3577"/>
    <w:rsid w:val="006F48C6"/>
    <w:rsid w:val="006F51AC"/>
    <w:rsid w:val="006F5D5A"/>
    <w:rsid w:val="00701A86"/>
    <w:rsid w:val="00701ED4"/>
    <w:rsid w:val="0070420E"/>
    <w:rsid w:val="0070605F"/>
    <w:rsid w:val="00710178"/>
    <w:rsid w:val="00713427"/>
    <w:rsid w:val="00713F81"/>
    <w:rsid w:val="007152E6"/>
    <w:rsid w:val="0071585F"/>
    <w:rsid w:val="0071602D"/>
    <w:rsid w:val="007177B2"/>
    <w:rsid w:val="007225BE"/>
    <w:rsid w:val="00722F38"/>
    <w:rsid w:val="00724AF6"/>
    <w:rsid w:val="00731F8F"/>
    <w:rsid w:val="007332B1"/>
    <w:rsid w:val="00733823"/>
    <w:rsid w:val="00735225"/>
    <w:rsid w:val="00742DC7"/>
    <w:rsid w:val="007430DB"/>
    <w:rsid w:val="00743151"/>
    <w:rsid w:val="0074685F"/>
    <w:rsid w:val="007500C4"/>
    <w:rsid w:val="007505EA"/>
    <w:rsid w:val="00750C4D"/>
    <w:rsid w:val="0075120E"/>
    <w:rsid w:val="00754EE8"/>
    <w:rsid w:val="0075588A"/>
    <w:rsid w:val="00755FCA"/>
    <w:rsid w:val="00756B74"/>
    <w:rsid w:val="00757439"/>
    <w:rsid w:val="00757D71"/>
    <w:rsid w:val="0076206D"/>
    <w:rsid w:val="00762783"/>
    <w:rsid w:val="007628BE"/>
    <w:rsid w:val="00763406"/>
    <w:rsid w:val="007645C6"/>
    <w:rsid w:val="007702DC"/>
    <w:rsid w:val="00771529"/>
    <w:rsid w:val="0077235A"/>
    <w:rsid w:val="00772A28"/>
    <w:rsid w:val="007731B8"/>
    <w:rsid w:val="007731F7"/>
    <w:rsid w:val="007733BD"/>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38AE"/>
    <w:rsid w:val="00795076"/>
    <w:rsid w:val="007954B6"/>
    <w:rsid w:val="00795960"/>
    <w:rsid w:val="00795C31"/>
    <w:rsid w:val="00795D10"/>
    <w:rsid w:val="00796776"/>
    <w:rsid w:val="007A0BEE"/>
    <w:rsid w:val="007A2A5E"/>
    <w:rsid w:val="007A2BEF"/>
    <w:rsid w:val="007A3D8B"/>
    <w:rsid w:val="007A401A"/>
    <w:rsid w:val="007A57FA"/>
    <w:rsid w:val="007A5855"/>
    <w:rsid w:val="007A68A7"/>
    <w:rsid w:val="007A7C47"/>
    <w:rsid w:val="007A7FA1"/>
    <w:rsid w:val="007B05F5"/>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6DAB"/>
    <w:rsid w:val="007C71F1"/>
    <w:rsid w:val="007D0055"/>
    <w:rsid w:val="007D1B6F"/>
    <w:rsid w:val="007D2D52"/>
    <w:rsid w:val="007D4440"/>
    <w:rsid w:val="007D48B8"/>
    <w:rsid w:val="007D5A9C"/>
    <w:rsid w:val="007D688E"/>
    <w:rsid w:val="007D7DC5"/>
    <w:rsid w:val="007E1A86"/>
    <w:rsid w:val="007E2FC7"/>
    <w:rsid w:val="007E3051"/>
    <w:rsid w:val="007E3390"/>
    <w:rsid w:val="007E3743"/>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3CE"/>
    <w:rsid w:val="00811DC7"/>
    <w:rsid w:val="00811E94"/>
    <w:rsid w:val="00813BF3"/>
    <w:rsid w:val="00813F77"/>
    <w:rsid w:val="0081696F"/>
    <w:rsid w:val="00816A5F"/>
    <w:rsid w:val="00816B70"/>
    <w:rsid w:val="0081799E"/>
    <w:rsid w:val="00820C94"/>
    <w:rsid w:val="008224EC"/>
    <w:rsid w:val="0082310B"/>
    <w:rsid w:val="00824263"/>
    <w:rsid w:val="00824778"/>
    <w:rsid w:val="00825EF8"/>
    <w:rsid w:val="00826D5F"/>
    <w:rsid w:val="00826F29"/>
    <w:rsid w:val="00827576"/>
    <w:rsid w:val="00827BFC"/>
    <w:rsid w:val="00830AD5"/>
    <w:rsid w:val="00833259"/>
    <w:rsid w:val="0083400D"/>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06E"/>
    <w:rsid w:val="00852926"/>
    <w:rsid w:val="008529F0"/>
    <w:rsid w:val="00852CF8"/>
    <w:rsid w:val="00852D17"/>
    <w:rsid w:val="0085331B"/>
    <w:rsid w:val="00853996"/>
    <w:rsid w:val="00856342"/>
    <w:rsid w:val="00856C90"/>
    <w:rsid w:val="008572A0"/>
    <w:rsid w:val="00860218"/>
    <w:rsid w:val="00860267"/>
    <w:rsid w:val="00860D53"/>
    <w:rsid w:val="0086202D"/>
    <w:rsid w:val="00863899"/>
    <w:rsid w:val="008639A2"/>
    <w:rsid w:val="0086739B"/>
    <w:rsid w:val="008675B4"/>
    <w:rsid w:val="008703B9"/>
    <w:rsid w:val="00870796"/>
    <w:rsid w:val="00871110"/>
    <w:rsid w:val="00872CD3"/>
    <w:rsid w:val="0087325B"/>
    <w:rsid w:val="00875BDF"/>
    <w:rsid w:val="008760C5"/>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1BDE"/>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688F"/>
    <w:rsid w:val="008A7BAA"/>
    <w:rsid w:val="008B2A87"/>
    <w:rsid w:val="008B3922"/>
    <w:rsid w:val="008B556D"/>
    <w:rsid w:val="008B6BFF"/>
    <w:rsid w:val="008B77CC"/>
    <w:rsid w:val="008C0390"/>
    <w:rsid w:val="008C0ABC"/>
    <w:rsid w:val="008C1135"/>
    <w:rsid w:val="008C115F"/>
    <w:rsid w:val="008C3A1C"/>
    <w:rsid w:val="008C3A70"/>
    <w:rsid w:val="008C45CB"/>
    <w:rsid w:val="008C4E39"/>
    <w:rsid w:val="008C55AC"/>
    <w:rsid w:val="008C5AE1"/>
    <w:rsid w:val="008C5DD0"/>
    <w:rsid w:val="008D1FC2"/>
    <w:rsid w:val="008D4A1E"/>
    <w:rsid w:val="008D6D98"/>
    <w:rsid w:val="008E02B8"/>
    <w:rsid w:val="008E0BD0"/>
    <w:rsid w:val="008E1B21"/>
    <w:rsid w:val="008E2184"/>
    <w:rsid w:val="008E22AD"/>
    <w:rsid w:val="008E2BB0"/>
    <w:rsid w:val="008E2EB5"/>
    <w:rsid w:val="008E3952"/>
    <w:rsid w:val="008E3CB5"/>
    <w:rsid w:val="008E4873"/>
    <w:rsid w:val="008E5613"/>
    <w:rsid w:val="008E58D4"/>
    <w:rsid w:val="008E5AB5"/>
    <w:rsid w:val="008E77C3"/>
    <w:rsid w:val="008F0777"/>
    <w:rsid w:val="008F3E9F"/>
    <w:rsid w:val="008F600F"/>
    <w:rsid w:val="008F6A56"/>
    <w:rsid w:val="00900982"/>
    <w:rsid w:val="00901EE5"/>
    <w:rsid w:val="00901F2B"/>
    <w:rsid w:val="00903E57"/>
    <w:rsid w:val="0090472F"/>
    <w:rsid w:val="0090647A"/>
    <w:rsid w:val="009067A8"/>
    <w:rsid w:val="009071FC"/>
    <w:rsid w:val="00911426"/>
    <w:rsid w:val="0091153A"/>
    <w:rsid w:val="00911A43"/>
    <w:rsid w:val="009121EA"/>
    <w:rsid w:val="009127D5"/>
    <w:rsid w:val="00913967"/>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6B5"/>
    <w:rsid w:val="00934BE8"/>
    <w:rsid w:val="00936009"/>
    <w:rsid w:val="0093685B"/>
    <w:rsid w:val="00936997"/>
    <w:rsid w:val="00936F38"/>
    <w:rsid w:val="00937238"/>
    <w:rsid w:val="00937BAE"/>
    <w:rsid w:val="009421DC"/>
    <w:rsid w:val="00943993"/>
    <w:rsid w:val="00943F7A"/>
    <w:rsid w:val="0094448C"/>
    <w:rsid w:val="009462EE"/>
    <w:rsid w:val="00946C36"/>
    <w:rsid w:val="00947B77"/>
    <w:rsid w:val="00947E61"/>
    <w:rsid w:val="00950693"/>
    <w:rsid w:val="00951F5B"/>
    <w:rsid w:val="009544A7"/>
    <w:rsid w:val="0095485B"/>
    <w:rsid w:val="00954CB5"/>
    <w:rsid w:val="009556FD"/>
    <w:rsid w:val="00955A9B"/>
    <w:rsid w:val="009568AC"/>
    <w:rsid w:val="00957B7F"/>
    <w:rsid w:val="0096034B"/>
    <w:rsid w:val="00960C4C"/>
    <w:rsid w:val="00961ABE"/>
    <w:rsid w:val="009621E2"/>
    <w:rsid w:val="009630C3"/>
    <w:rsid w:val="0096492F"/>
    <w:rsid w:val="00964E50"/>
    <w:rsid w:val="00966553"/>
    <w:rsid w:val="009702D6"/>
    <w:rsid w:val="00970F34"/>
    <w:rsid w:val="00972A76"/>
    <w:rsid w:val="00974484"/>
    <w:rsid w:val="00976440"/>
    <w:rsid w:val="00976902"/>
    <w:rsid w:val="00977D81"/>
    <w:rsid w:val="00980717"/>
    <w:rsid w:val="0098114F"/>
    <w:rsid w:val="00981812"/>
    <w:rsid w:val="00981E91"/>
    <w:rsid w:val="00982117"/>
    <w:rsid w:val="00982E81"/>
    <w:rsid w:val="00983393"/>
    <w:rsid w:val="009834C2"/>
    <w:rsid w:val="009838B3"/>
    <w:rsid w:val="009847E8"/>
    <w:rsid w:val="00984E98"/>
    <w:rsid w:val="00985B91"/>
    <w:rsid w:val="0098744E"/>
    <w:rsid w:val="00990206"/>
    <w:rsid w:val="00990DDA"/>
    <w:rsid w:val="00991985"/>
    <w:rsid w:val="00992678"/>
    <w:rsid w:val="00992B04"/>
    <w:rsid w:val="00994C84"/>
    <w:rsid w:val="00996DDB"/>
    <w:rsid w:val="009A0F5B"/>
    <w:rsid w:val="009A230D"/>
    <w:rsid w:val="009A43E8"/>
    <w:rsid w:val="009A592C"/>
    <w:rsid w:val="009A62D1"/>
    <w:rsid w:val="009B11E3"/>
    <w:rsid w:val="009B305D"/>
    <w:rsid w:val="009B3376"/>
    <w:rsid w:val="009B4134"/>
    <w:rsid w:val="009B5134"/>
    <w:rsid w:val="009B5B61"/>
    <w:rsid w:val="009C0349"/>
    <w:rsid w:val="009C0859"/>
    <w:rsid w:val="009C2805"/>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9F60EC"/>
    <w:rsid w:val="00A002DF"/>
    <w:rsid w:val="00A01078"/>
    <w:rsid w:val="00A01C47"/>
    <w:rsid w:val="00A01C84"/>
    <w:rsid w:val="00A03D81"/>
    <w:rsid w:val="00A04E62"/>
    <w:rsid w:val="00A0606D"/>
    <w:rsid w:val="00A105C2"/>
    <w:rsid w:val="00A1080B"/>
    <w:rsid w:val="00A10FBF"/>
    <w:rsid w:val="00A12574"/>
    <w:rsid w:val="00A155BC"/>
    <w:rsid w:val="00A17438"/>
    <w:rsid w:val="00A201BE"/>
    <w:rsid w:val="00A20720"/>
    <w:rsid w:val="00A21D0E"/>
    <w:rsid w:val="00A226D2"/>
    <w:rsid w:val="00A23052"/>
    <w:rsid w:val="00A231EE"/>
    <w:rsid w:val="00A23C64"/>
    <w:rsid w:val="00A244B0"/>
    <w:rsid w:val="00A247F2"/>
    <w:rsid w:val="00A27292"/>
    <w:rsid w:val="00A31221"/>
    <w:rsid w:val="00A312C4"/>
    <w:rsid w:val="00A31DF0"/>
    <w:rsid w:val="00A32BA4"/>
    <w:rsid w:val="00A32E6B"/>
    <w:rsid w:val="00A364D6"/>
    <w:rsid w:val="00A40622"/>
    <w:rsid w:val="00A41A71"/>
    <w:rsid w:val="00A426A2"/>
    <w:rsid w:val="00A456C5"/>
    <w:rsid w:val="00A45B77"/>
    <w:rsid w:val="00A45BEB"/>
    <w:rsid w:val="00A46992"/>
    <w:rsid w:val="00A50BCC"/>
    <w:rsid w:val="00A50E08"/>
    <w:rsid w:val="00A51E82"/>
    <w:rsid w:val="00A52031"/>
    <w:rsid w:val="00A5248E"/>
    <w:rsid w:val="00A52584"/>
    <w:rsid w:val="00A539A4"/>
    <w:rsid w:val="00A55525"/>
    <w:rsid w:val="00A57CB5"/>
    <w:rsid w:val="00A61769"/>
    <w:rsid w:val="00A6346E"/>
    <w:rsid w:val="00A653E6"/>
    <w:rsid w:val="00A6611E"/>
    <w:rsid w:val="00A67063"/>
    <w:rsid w:val="00A675FF"/>
    <w:rsid w:val="00A700E9"/>
    <w:rsid w:val="00A71CCC"/>
    <w:rsid w:val="00A71DA8"/>
    <w:rsid w:val="00A72AD1"/>
    <w:rsid w:val="00A72B58"/>
    <w:rsid w:val="00A72C57"/>
    <w:rsid w:val="00A751E1"/>
    <w:rsid w:val="00A753D2"/>
    <w:rsid w:val="00A75C27"/>
    <w:rsid w:val="00A7629C"/>
    <w:rsid w:val="00A76C04"/>
    <w:rsid w:val="00A802DF"/>
    <w:rsid w:val="00A82E0E"/>
    <w:rsid w:val="00A834BE"/>
    <w:rsid w:val="00A8351E"/>
    <w:rsid w:val="00A91938"/>
    <w:rsid w:val="00A929B8"/>
    <w:rsid w:val="00A946A2"/>
    <w:rsid w:val="00A9531F"/>
    <w:rsid w:val="00A956A9"/>
    <w:rsid w:val="00A96925"/>
    <w:rsid w:val="00AA003F"/>
    <w:rsid w:val="00AA05C3"/>
    <w:rsid w:val="00AA161B"/>
    <w:rsid w:val="00AA1796"/>
    <w:rsid w:val="00AA533D"/>
    <w:rsid w:val="00AA60A2"/>
    <w:rsid w:val="00AA68D6"/>
    <w:rsid w:val="00AB0A10"/>
    <w:rsid w:val="00AB19BC"/>
    <w:rsid w:val="00AB2D8E"/>
    <w:rsid w:val="00AB35BD"/>
    <w:rsid w:val="00AB3A8A"/>
    <w:rsid w:val="00AB3D26"/>
    <w:rsid w:val="00AB5D6D"/>
    <w:rsid w:val="00AB6591"/>
    <w:rsid w:val="00AB6833"/>
    <w:rsid w:val="00AB7915"/>
    <w:rsid w:val="00AC0677"/>
    <w:rsid w:val="00AC074C"/>
    <w:rsid w:val="00AC21A1"/>
    <w:rsid w:val="00AC2EAD"/>
    <w:rsid w:val="00AC3433"/>
    <w:rsid w:val="00AC390F"/>
    <w:rsid w:val="00AC5026"/>
    <w:rsid w:val="00AC676F"/>
    <w:rsid w:val="00AC6E7D"/>
    <w:rsid w:val="00AC76CD"/>
    <w:rsid w:val="00AD0599"/>
    <w:rsid w:val="00AD071F"/>
    <w:rsid w:val="00AD16DB"/>
    <w:rsid w:val="00AD2EC4"/>
    <w:rsid w:val="00AD57FB"/>
    <w:rsid w:val="00AD6214"/>
    <w:rsid w:val="00AD6F72"/>
    <w:rsid w:val="00AE03C9"/>
    <w:rsid w:val="00AE1D9C"/>
    <w:rsid w:val="00AE41AD"/>
    <w:rsid w:val="00AE4214"/>
    <w:rsid w:val="00AE4239"/>
    <w:rsid w:val="00AE5BE6"/>
    <w:rsid w:val="00AE61E2"/>
    <w:rsid w:val="00AE6D22"/>
    <w:rsid w:val="00AE6FDE"/>
    <w:rsid w:val="00AE79BA"/>
    <w:rsid w:val="00AF0F41"/>
    <w:rsid w:val="00AF1635"/>
    <w:rsid w:val="00AF29D8"/>
    <w:rsid w:val="00AF3602"/>
    <w:rsid w:val="00AF3C02"/>
    <w:rsid w:val="00AF56B1"/>
    <w:rsid w:val="00AF6824"/>
    <w:rsid w:val="00AF6EDE"/>
    <w:rsid w:val="00AF7B4B"/>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35D8"/>
    <w:rsid w:val="00B249B9"/>
    <w:rsid w:val="00B265ED"/>
    <w:rsid w:val="00B31112"/>
    <w:rsid w:val="00B31EEC"/>
    <w:rsid w:val="00B3327B"/>
    <w:rsid w:val="00B361A5"/>
    <w:rsid w:val="00B36519"/>
    <w:rsid w:val="00B36A8A"/>
    <w:rsid w:val="00B4103C"/>
    <w:rsid w:val="00B414F4"/>
    <w:rsid w:val="00B43970"/>
    <w:rsid w:val="00B45FAB"/>
    <w:rsid w:val="00B52C0E"/>
    <w:rsid w:val="00B5331C"/>
    <w:rsid w:val="00B54622"/>
    <w:rsid w:val="00B549B6"/>
    <w:rsid w:val="00B572C8"/>
    <w:rsid w:val="00B62F06"/>
    <w:rsid w:val="00B632EF"/>
    <w:rsid w:val="00B635E1"/>
    <w:rsid w:val="00B64085"/>
    <w:rsid w:val="00B70838"/>
    <w:rsid w:val="00B721D4"/>
    <w:rsid w:val="00B746AB"/>
    <w:rsid w:val="00B74C9B"/>
    <w:rsid w:val="00B754D1"/>
    <w:rsid w:val="00B759B6"/>
    <w:rsid w:val="00B80863"/>
    <w:rsid w:val="00B80C36"/>
    <w:rsid w:val="00B81527"/>
    <w:rsid w:val="00B82C7E"/>
    <w:rsid w:val="00B83AE6"/>
    <w:rsid w:val="00B867F4"/>
    <w:rsid w:val="00B86B4E"/>
    <w:rsid w:val="00B8749B"/>
    <w:rsid w:val="00B9011B"/>
    <w:rsid w:val="00B903EE"/>
    <w:rsid w:val="00B90A91"/>
    <w:rsid w:val="00B91B2F"/>
    <w:rsid w:val="00B91D6E"/>
    <w:rsid w:val="00B933CA"/>
    <w:rsid w:val="00B9371E"/>
    <w:rsid w:val="00B93A20"/>
    <w:rsid w:val="00B93C01"/>
    <w:rsid w:val="00B93FB0"/>
    <w:rsid w:val="00B94132"/>
    <w:rsid w:val="00B9456A"/>
    <w:rsid w:val="00B94C7F"/>
    <w:rsid w:val="00B95697"/>
    <w:rsid w:val="00B96CE8"/>
    <w:rsid w:val="00B97B42"/>
    <w:rsid w:val="00B97FED"/>
    <w:rsid w:val="00BA0320"/>
    <w:rsid w:val="00BA0382"/>
    <w:rsid w:val="00BA286D"/>
    <w:rsid w:val="00BA3EA5"/>
    <w:rsid w:val="00BA4B33"/>
    <w:rsid w:val="00BA6C30"/>
    <w:rsid w:val="00BB0321"/>
    <w:rsid w:val="00BB062A"/>
    <w:rsid w:val="00BB14B4"/>
    <w:rsid w:val="00BB3260"/>
    <w:rsid w:val="00BB3AE9"/>
    <w:rsid w:val="00BB5483"/>
    <w:rsid w:val="00BB578B"/>
    <w:rsid w:val="00BB6D5A"/>
    <w:rsid w:val="00BB779E"/>
    <w:rsid w:val="00BB7B4A"/>
    <w:rsid w:val="00BC15C0"/>
    <w:rsid w:val="00BC1D1C"/>
    <w:rsid w:val="00BC5FC1"/>
    <w:rsid w:val="00BC690B"/>
    <w:rsid w:val="00BC6AE3"/>
    <w:rsid w:val="00BC72D4"/>
    <w:rsid w:val="00BD0C6C"/>
    <w:rsid w:val="00BD1500"/>
    <w:rsid w:val="00BD18C2"/>
    <w:rsid w:val="00BD1F47"/>
    <w:rsid w:val="00BD272B"/>
    <w:rsid w:val="00BD403B"/>
    <w:rsid w:val="00BD4FCD"/>
    <w:rsid w:val="00BD55B3"/>
    <w:rsid w:val="00BD5E72"/>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AB"/>
    <w:rsid w:val="00C02CF7"/>
    <w:rsid w:val="00C03643"/>
    <w:rsid w:val="00C048DA"/>
    <w:rsid w:val="00C049B6"/>
    <w:rsid w:val="00C04CDF"/>
    <w:rsid w:val="00C06104"/>
    <w:rsid w:val="00C0642C"/>
    <w:rsid w:val="00C078F8"/>
    <w:rsid w:val="00C10186"/>
    <w:rsid w:val="00C12FA1"/>
    <w:rsid w:val="00C133E9"/>
    <w:rsid w:val="00C139CF"/>
    <w:rsid w:val="00C14F1E"/>
    <w:rsid w:val="00C16576"/>
    <w:rsid w:val="00C165EA"/>
    <w:rsid w:val="00C17081"/>
    <w:rsid w:val="00C17BF0"/>
    <w:rsid w:val="00C20D00"/>
    <w:rsid w:val="00C225A7"/>
    <w:rsid w:val="00C2473D"/>
    <w:rsid w:val="00C24C1D"/>
    <w:rsid w:val="00C25738"/>
    <w:rsid w:val="00C258DD"/>
    <w:rsid w:val="00C25974"/>
    <w:rsid w:val="00C26C63"/>
    <w:rsid w:val="00C27338"/>
    <w:rsid w:val="00C30B97"/>
    <w:rsid w:val="00C310B9"/>
    <w:rsid w:val="00C31981"/>
    <w:rsid w:val="00C31F16"/>
    <w:rsid w:val="00C3216D"/>
    <w:rsid w:val="00C3282B"/>
    <w:rsid w:val="00C33A80"/>
    <w:rsid w:val="00C3510D"/>
    <w:rsid w:val="00C364AB"/>
    <w:rsid w:val="00C37636"/>
    <w:rsid w:val="00C37C1B"/>
    <w:rsid w:val="00C37D63"/>
    <w:rsid w:val="00C41084"/>
    <w:rsid w:val="00C428D2"/>
    <w:rsid w:val="00C43AD6"/>
    <w:rsid w:val="00C45747"/>
    <w:rsid w:val="00C51CA3"/>
    <w:rsid w:val="00C52C08"/>
    <w:rsid w:val="00C52D87"/>
    <w:rsid w:val="00C52DBF"/>
    <w:rsid w:val="00C55D2C"/>
    <w:rsid w:val="00C56738"/>
    <w:rsid w:val="00C56961"/>
    <w:rsid w:val="00C61B08"/>
    <w:rsid w:val="00C62194"/>
    <w:rsid w:val="00C63BD9"/>
    <w:rsid w:val="00C6660D"/>
    <w:rsid w:val="00C66F39"/>
    <w:rsid w:val="00C710ED"/>
    <w:rsid w:val="00C7117F"/>
    <w:rsid w:val="00C71781"/>
    <w:rsid w:val="00C7202F"/>
    <w:rsid w:val="00C73020"/>
    <w:rsid w:val="00C74500"/>
    <w:rsid w:val="00C74B58"/>
    <w:rsid w:val="00C74BE7"/>
    <w:rsid w:val="00C74F87"/>
    <w:rsid w:val="00C76AB2"/>
    <w:rsid w:val="00C77E74"/>
    <w:rsid w:val="00C80BF1"/>
    <w:rsid w:val="00C8283E"/>
    <w:rsid w:val="00C847D5"/>
    <w:rsid w:val="00C849F1"/>
    <w:rsid w:val="00C856AA"/>
    <w:rsid w:val="00C861CE"/>
    <w:rsid w:val="00C87460"/>
    <w:rsid w:val="00C91962"/>
    <w:rsid w:val="00C91D71"/>
    <w:rsid w:val="00C937FA"/>
    <w:rsid w:val="00C93C52"/>
    <w:rsid w:val="00C9406D"/>
    <w:rsid w:val="00C9528D"/>
    <w:rsid w:val="00C96353"/>
    <w:rsid w:val="00C970DC"/>
    <w:rsid w:val="00C972F3"/>
    <w:rsid w:val="00C9738C"/>
    <w:rsid w:val="00C9797D"/>
    <w:rsid w:val="00CA0C5A"/>
    <w:rsid w:val="00CA0FB1"/>
    <w:rsid w:val="00CA1DE4"/>
    <w:rsid w:val="00CA21B1"/>
    <w:rsid w:val="00CA22A3"/>
    <w:rsid w:val="00CA54E0"/>
    <w:rsid w:val="00CA5CC6"/>
    <w:rsid w:val="00CB253F"/>
    <w:rsid w:val="00CB2D98"/>
    <w:rsid w:val="00CB7A6B"/>
    <w:rsid w:val="00CC0F0B"/>
    <w:rsid w:val="00CC2FFE"/>
    <w:rsid w:val="00CC4468"/>
    <w:rsid w:val="00CC590D"/>
    <w:rsid w:val="00CD0933"/>
    <w:rsid w:val="00CD1999"/>
    <w:rsid w:val="00CD1B40"/>
    <w:rsid w:val="00CD3E17"/>
    <w:rsid w:val="00CD52BB"/>
    <w:rsid w:val="00CD75B0"/>
    <w:rsid w:val="00CD7622"/>
    <w:rsid w:val="00CD782A"/>
    <w:rsid w:val="00CE1E75"/>
    <w:rsid w:val="00CE227C"/>
    <w:rsid w:val="00CE501D"/>
    <w:rsid w:val="00CE650F"/>
    <w:rsid w:val="00CE6BC3"/>
    <w:rsid w:val="00CE71AA"/>
    <w:rsid w:val="00CE79A3"/>
    <w:rsid w:val="00CE7D31"/>
    <w:rsid w:val="00CF0C27"/>
    <w:rsid w:val="00CF10FC"/>
    <w:rsid w:val="00CF1E63"/>
    <w:rsid w:val="00CF2166"/>
    <w:rsid w:val="00CF23FD"/>
    <w:rsid w:val="00CF2B6C"/>
    <w:rsid w:val="00CF67EC"/>
    <w:rsid w:val="00CF6E62"/>
    <w:rsid w:val="00D003D7"/>
    <w:rsid w:val="00D018CC"/>
    <w:rsid w:val="00D06F34"/>
    <w:rsid w:val="00D125FC"/>
    <w:rsid w:val="00D12BA4"/>
    <w:rsid w:val="00D1339D"/>
    <w:rsid w:val="00D1399A"/>
    <w:rsid w:val="00D13E2C"/>
    <w:rsid w:val="00D14B36"/>
    <w:rsid w:val="00D15621"/>
    <w:rsid w:val="00D17E62"/>
    <w:rsid w:val="00D2221E"/>
    <w:rsid w:val="00D25BAC"/>
    <w:rsid w:val="00D272DF"/>
    <w:rsid w:val="00D31225"/>
    <w:rsid w:val="00D3190D"/>
    <w:rsid w:val="00D32600"/>
    <w:rsid w:val="00D33E42"/>
    <w:rsid w:val="00D35797"/>
    <w:rsid w:val="00D36397"/>
    <w:rsid w:val="00D3679D"/>
    <w:rsid w:val="00D36F0D"/>
    <w:rsid w:val="00D405C7"/>
    <w:rsid w:val="00D42867"/>
    <w:rsid w:val="00D429A3"/>
    <w:rsid w:val="00D445D6"/>
    <w:rsid w:val="00D44FCB"/>
    <w:rsid w:val="00D450FF"/>
    <w:rsid w:val="00D45505"/>
    <w:rsid w:val="00D45DB5"/>
    <w:rsid w:val="00D46422"/>
    <w:rsid w:val="00D47852"/>
    <w:rsid w:val="00D50A96"/>
    <w:rsid w:val="00D51A30"/>
    <w:rsid w:val="00D52A96"/>
    <w:rsid w:val="00D534A4"/>
    <w:rsid w:val="00D549D3"/>
    <w:rsid w:val="00D54B6B"/>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7550B"/>
    <w:rsid w:val="00D803CE"/>
    <w:rsid w:val="00D80A86"/>
    <w:rsid w:val="00D80BF5"/>
    <w:rsid w:val="00D81ADE"/>
    <w:rsid w:val="00D8327A"/>
    <w:rsid w:val="00D848D6"/>
    <w:rsid w:val="00D857A1"/>
    <w:rsid w:val="00D8766A"/>
    <w:rsid w:val="00D909C5"/>
    <w:rsid w:val="00D938DB"/>
    <w:rsid w:val="00D9591F"/>
    <w:rsid w:val="00D97FDB"/>
    <w:rsid w:val="00DA13B9"/>
    <w:rsid w:val="00DA191A"/>
    <w:rsid w:val="00DA1F58"/>
    <w:rsid w:val="00DA2172"/>
    <w:rsid w:val="00DA289F"/>
    <w:rsid w:val="00DA3367"/>
    <w:rsid w:val="00DA44C5"/>
    <w:rsid w:val="00DA5425"/>
    <w:rsid w:val="00DA54B6"/>
    <w:rsid w:val="00DA6204"/>
    <w:rsid w:val="00DB21D3"/>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CDC"/>
    <w:rsid w:val="00DF3D99"/>
    <w:rsid w:val="00DF4244"/>
    <w:rsid w:val="00DF4290"/>
    <w:rsid w:val="00DF5402"/>
    <w:rsid w:val="00E00405"/>
    <w:rsid w:val="00E012D8"/>
    <w:rsid w:val="00E01798"/>
    <w:rsid w:val="00E01D98"/>
    <w:rsid w:val="00E01E13"/>
    <w:rsid w:val="00E04F3C"/>
    <w:rsid w:val="00E06A09"/>
    <w:rsid w:val="00E071FA"/>
    <w:rsid w:val="00E112EE"/>
    <w:rsid w:val="00E1149A"/>
    <w:rsid w:val="00E13BD1"/>
    <w:rsid w:val="00E13D12"/>
    <w:rsid w:val="00E16BEC"/>
    <w:rsid w:val="00E203E1"/>
    <w:rsid w:val="00E213CF"/>
    <w:rsid w:val="00E2412D"/>
    <w:rsid w:val="00E254FA"/>
    <w:rsid w:val="00E26DA9"/>
    <w:rsid w:val="00E27B6C"/>
    <w:rsid w:val="00E30521"/>
    <w:rsid w:val="00E31FD9"/>
    <w:rsid w:val="00E328B5"/>
    <w:rsid w:val="00E330CE"/>
    <w:rsid w:val="00E33D08"/>
    <w:rsid w:val="00E33D1A"/>
    <w:rsid w:val="00E341DD"/>
    <w:rsid w:val="00E367E5"/>
    <w:rsid w:val="00E4179E"/>
    <w:rsid w:val="00E42651"/>
    <w:rsid w:val="00E4330B"/>
    <w:rsid w:val="00E44F67"/>
    <w:rsid w:val="00E45EDE"/>
    <w:rsid w:val="00E45F73"/>
    <w:rsid w:val="00E47FB7"/>
    <w:rsid w:val="00E50AE9"/>
    <w:rsid w:val="00E5210F"/>
    <w:rsid w:val="00E56DCD"/>
    <w:rsid w:val="00E604C5"/>
    <w:rsid w:val="00E60E6A"/>
    <w:rsid w:val="00E624B0"/>
    <w:rsid w:val="00E62AD4"/>
    <w:rsid w:val="00E62BC1"/>
    <w:rsid w:val="00E62E07"/>
    <w:rsid w:val="00E62FBC"/>
    <w:rsid w:val="00E65413"/>
    <w:rsid w:val="00E65967"/>
    <w:rsid w:val="00E65A10"/>
    <w:rsid w:val="00E6710A"/>
    <w:rsid w:val="00E714D0"/>
    <w:rsid w:val="00E71980"/>
    <w:rsid w:val="00E73823"/>
    <w:rsid w:val="00E74749"/>
    <w:rsid w:val="00E75DC9"/>
    <w:rsid w:val="00E80F3E"/>
    <w:rsid w:val="00E81C53"/>
    <w:rsid w:val="00E83B43"/>
    <w:rsid w:val="00E85BC9"/>
    <w:rsid w:val="00E8665B"/>
    <w:rsid w:val="00E86F93"/>
    <w:rsid w:val="00E87AD2"/>
    <w:rsid w:val="00E9033A"/>
    <w:rsid w:val="00E91322"/>
    <w:rsid w:val="00E91AD3"/>
    <w:rsid w:val="00E93257"/>
    <w:rsid w:val="00E96131"/>
    <w:rsid w:val="00EA12A7"/>
    <w:rsid w:val="00EA12F5"/>
    <w:rsid w:val="00EA16EF"/>
    <w:rsid w:val="00EA3278"/>
    <w:rsid w:val="00EA3642"/>
    <w:rsid w:val="00EA4537"/>
    <w:rsid w:val="00EA48AB"/>
    <w:rsid w:val="00EA56BF"/>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1578"/>
    <w:rsid w:val="00ED5249"/>
    <w:rsid w:val="00ED7EAC"/>
    <w:rsid w:val="00EE033F"/>
    <w:rsid w:val="00EE124B"/>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0527A"/>
    <w:rsid w:val="00F11A7E"/>
    <w:rsid w:val="00F123F2"/>
    <w:rsid w:val="00F14FA6"/>
    <w:rsid w:val="00F1590C"/>
    <w:rsid w:val="00F16B95"/>
    <w:rsid w:val="00F2021D"/>
    <w:rsid w:val="00F227E8"/>
    <w:rsid w:val="00F24C19"/>
    <w:rsid w:val="00F25849"/>
    <w:rsid w:val="00F25E1A"/>
    <w:rsid w:val="00F26B5A"/>
    <w:rsid w:val="00F26C9C"/>
    <w:rsid w:val="00F27EDC"/>
    <w:rsid w:val="00F31EA8"/>
    <w:rsid w:val="00F33A82"/>
    <w:rsid w:val="00F33A9D"/>
    <w:rsid w:val="00F341FA"/>
    <w:rsid w:val="00F344D3"/>
    <w:rsid w:val="00F37F68"/>
    <w:rsid w:val="00F40AAE"/>
    <w:rsid w:val="00F41177"/>
    <w:rsid w:val="00F42D71"/>
    <w:rsid w:val="00F4345C"/>
    <w:rsid w:val="00F43517"/>
    <w:rsid w:val="00F44BFB"/>
    <w:rsid w:val="00F464A2"/>
    <w:rsid w:val="00F46FE3"/>
    <w:rsid w:val="00F47D26"/>
    <w:rsid w:val="00F5125C"/>
    <w:rsid w:val="00F51A2F"/>
    <w:rsid w:val="00F523EB"/>
    <w:rsid w:val="00F525E9"/>
    <w:rsid w:val="00F52B97"/>
    <w:rsid w:val="00F573E9"/>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660E"/>
    <w:rsid w:val="00FA68EB"/>
    <w:rsid w:val="00FA70F4"/>
    <w:rsid w:val="00FB0E7E"/>
    <w:rsid w:val="00FB20E4"/>
    <w:rsid w:val="00FB312D"/>
    <w:rsid w:val="00FB3D2F"/>
    <w:rsid w:val="00FB3E6C"/>
    <w:rsid w:val="00FB43B5"/>
    <w:rsid w:val="00FC0068"/>
    <w:rsid w:val="00FC1EDF"/>
    <w:rsid w:val="00FC2ED0"/>
    <w:rsid w:val="00FC3F91"/>
    <w:rsid w:val="00FC48E3"/>
    <w:rsid w:val="00FC498C"/>
    <w:rsid w:val="00FD2D8D"/>
    <w:rsid w:val="00FD355B"/>
    <w:rsid w:val="00FD3628"/>
    <w:rsid w:val="00FD4003"/>
    <w:rsid w:val="00FD4138"/>
    <w:rsid w:val="00FD4F88"/>
    <w:rsid w:val="00FD6684"/>
    <w:rsid w:val="00FD7D5E"/>
    <w:rsid w:val="00FE2506"/>
    <w:rsid w:val="00FE2B1A"/>
    <w:rsid w:val="00FE2F50"/>
    <w:rsid w:val="00FE4FE9"/>
    <w:rsid w:val="00FE5F18"/>
    <w:rsid w:val="00FE6BDF"/>
    <w:rsid w:val="00FE6CB5"/>
    <w:rsid w:val="00FE7FC9"/>
    <w:rsid w:val="00FF2F02"/>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7A68A7"/>
    <w:pPr>
      <w:keepNext/>
      <w:spacing w:before="240" w:after="240"/>
      <w:outlineLvl w:val="0"/>
    </w:pPr>
    <w:rPr>
      <w:rFonts w:cs="Arial"/>
      <w:b/>
      <w:bCs/>
      <w:color w:val="E0523E"/>
      <w:kern w:val="32"/>
      <w:sz w:val="48"/>
      <w:szCs w:val="32"/>
    </w:rPr>
  </w:style>
  <w:style w:type="paragraph" w:styleId="Heading2">
    <w:name w:val="heading 2"/>
    <w:basedOn w:val="Normal"/>
    <w:next w:val="Normal"/>
    <w:qFormat/>
    <w:rsid w:val="00722F38"/>
    <w:pPr>
      <w:keepNext/>
      <w:spacing w:before="240" w:after="240"/>
      <w:outlineLvl w:val="1"/>
    </w:pPr>
    <w:rPr>
      <w:rFonts w:cs="Arial"/>
      <w:b/>
      <w:bCs/>
      <w:iCs/>
      <w:color w:val="26555C"/>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722F38"/>
    <w:pPr>
      <w:spacing w:before="120"/>
      <w:outlineLvl w:val="3"/>
    </w:pPr>
    <w:rPr>
      <w:color w:val="26555C"/>
      <w:sz w:val="24"/>
      <w:szCs w:val="28"/>
    </w:rPr>
  </w:style>
  <w:style w:type="paragraph" w:styleId="Heading5">
    <w:name w:val="heading 5"/>
    <w:basedOn w:val="Normal"/>
    <w:next w:val="Normal"/>
    <w:link w:val="Heading5Char"/>
    <w:unhideWhenUsed/>
    <w:qFormat/>
    <w:rsid w:val="00722F38"/>
    <w:pPr>
      <w:spacing w:before="120"/>
      <w:outlineLvl w:val="4"/>
    </w:pPr>
    <w:rPr>
      <w:b/>
      <w:bCs/>
      <w:color w:val="26555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link w:val="FooterChar"/>
    <w:uiPriority w:val="99"/>
    <w:rsid w:val="00AC5026"/>
    <w:pPr>
      <w:tabs>
        <w:tab w:val="right" w:pos="9638"/>
      </w:tabs>
      <w:spacing w:after="0"/>
    </w:pPr>
    <w:rPr>
      <w:sz w:val="20"/>
      <w:szCs w:val="22"/>
    </w:rPr>
  </w:style>
  <w:style w:type="character" w:customStyle="1" w:styleId="Heading4Char">
    <w:name w:val="Heading 4 Char"/>
    <w:basedOn w:val="DefaultParagraphFont"/>
    <w:link w:val="Heading4"/>
    <w:rsid w:val="00722F38"/>
    <w:rPr>
      <w:rFonts w:ascii="Arial" w:hAnsi="Arial"/>
      <w:color w:val="26555C"/>
      <w:sz w:val="24"/>
      <w:szCs w:val="28"/>
      <w:lang w:eastAsia="en-AU"/>
    </w:rPr>
  </w:style>
  <w:style w:type="character" w:customStyle="1" w:styleId="Heading5Char">
    <w:name w:val="Heading 5 Char"/>
    <w:basedOn w:val="DefaultParagraphFont"/>
    <w:link w:val="Heading5"/>
    <w:rsid w:val="00722F38"/>
    <w:rPr>
      <w:rFonts w:ascii="Arial" w:hAnsi="Arial"/>
      <w:b/>
      <w:bCs/>
      <w:color w:val="26555C"/>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styleId="ListParagraph">
    <w:name w:val="List Paragraph"/>
    <w:basedOn w:val="Normal"/>
    <w:uiPriority w:val="34"/>
    <w:qFormat/>
    <w:rsid w:val="00B635E1"/>
    <w:pPr>
      <w:ind w:left="720"/>
      <w:contextualSpacing/>
    </w:pPr>
    <w:rPr>
      <w:rFonts w:eastAsiaTheme="minorEastAsia" w:cstheme="minorBidi"/>
      <w:lang w:val="en-US" w:eastAsia="en-US"/>
    </w:rPr>
  </w:style>
  <w:style w:type="character" w:customStyle="1" w:styleId="cf01">
    <w:name w:val="cf01"/>
    <w:basedOn w:val="DefaultParagraphFont"/>
    <w:rsid w:val="00B635E1"/>
    <w:rPr>
      <w:rFonts w:ascii="Segoe UI" w:hAnsi="Segoe UI" w:cs="Segoe UI" w:hint="default"/>
      <w:sz w:val="18"/>
      <w:szCs w:val="18"/>
    </w:rPr>
  </w:style>
  <w:style w:type="table" w:styleId="TableGrid">
    <w:name w:val="Table Grid"/>
    <w:basedOn w:val="TableNormal"/>
    <w:rsid w:val="00B635E1"/>
    <w:rPr>
      <w:rFonts w:asciiTheme="minorHAnsi" w:eastAsiaTheme="minorEastAsia"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64E8A"/>
    <w:rPr>
      <w:sz w:val="16"/>
      <w:szCs w:val="16"/>
    </w:rPr>
  </w:style>
  <w:style w:type="paragraph" w:styleId="CommentText">
    <w:name w:val="annotation text"/>
    <w:basedOn w:val="Normal"/>
    <w:link w:val="CommentTextChar"/>
    <w:rsid w:val="00164E8A"/>
    <w:rPr>
      <w:sz w:val="20"/>
      <w:szCs w:val="20"/>
    </w:rPr>
  </w:style>
  <w:style w:type="character" w:customStyle="1" w:styleId="CommentTextChar">
    <w:name w:val="Comment Text Char"/>
    <w:basedOn w:val="DefaultParagraphFont"/>
    <w:link w:val="CommentText"/>
    <w:rsid w:val="00164E8A"/>
    <w:rPr>
      <w:rFonts w:ascii="Arial" w:hAnsi="Arial"/>
      <w:lang w:eastAsia="en-AU"/>
    </w:rPr>
  </w:style>
  <w:style w:type="paragraph" w:styleId="CommentSubject">
    <w:name w:val="annotation subject"/>
    <w:basedOn w:val="CommentText"/>
    <w:next w:val="CommentText"/>
    <w:link w:val="CommentSubjectChar"/>
    <w:rsid w:val="00164E8A"/>
    <w:rPr>
      <w:b/>
      <w:bCs/>
    </w:rPr>
  </w:style>
  <w:style w:type="character" w:customStyle="1" w:styleId="CommentSubjectChar">
    <w:name w:val="Comment Subject Char"/>
    <w:basedOn w:val="CommentTextChar"/>
    <w:link w:val="CommentSubject"/>
    <w:rsid w:val="00164E8A"/>
    <w:rPr>
      <w:rFonts w:ascii="Arial" w:hAnsi="Arial"/>
      <w:b/>
      <w:bCs/>
      <w:lang w:eastAsia="en-AU"/>
    </w:rPr>
  </w:style>
  <w:style w:type="paragraph" w:styleId="Revision">
    <w:name w:val="Revision"/>
    <w:hidden/>
    <w:uiPriority w:val="71"/>
    <w:rsid w:val="003E7680"/>
    <w:rPr>
      <w:rFonts w:ascii="Arial" w:hAnsi="Arial"/>
      <w:sz w:val="22"/>
      <w:szCs w:val="24"/>
      <w:lang w:eastAsia="en-AU"/>
    </w:rPr>
  </w:style>
  <w:style w:type="paragraph" w:styleId="FootnoteText">
    <w:name w:val="footnote text"/>
    <w:basedOn w:val="Normal"/>
    <w:link w:val="FootnoteTextChar"/>
    <w:rsid w:val="001576CB"/>
    <w:pPr>
      <w:spacing w:after="0"/>
    </w:pPr>
    <w:rPr>
      <w:sz w:val="20"/>
      <w:szCs w:val="20"/>
    </w:rPr>
  </w:style>
  <w:style w:type="character" w:customStyle="1" w:styleId="FootnoteTextChar">
    <w:name w:val="Footnote Text Char"/>
    <w:basedOn w:val="DefaultParagraphFont"/>
    <w:link w:val="FootnoteText"/>
    <w:rsid w:val="001576CB"/>
    <w:rPr>
      <w:rFonts w:ascii="Arial" w:hAnsi="Arial"/>
      <w:lang w:eastAsia="en-AU"/>
    </w:rPr>
  </w:style>
  <w:style w:type="paragraph" w:customStyle="1" w:styleId="xmsonormal">
    <w:name w:val="x_msonormal"/>
    <w:basedOn w:val="Normal"/>
    <w:rsid w:val="00CC590D"/>
    <w:pPr>
      <w:spacing w:after="0"/>
    </w:pPr>
    <w:rPr>
      <w:rFonts w:ascii="Calibri" w:eastAsiaTheme="minorHAnsi" w:hAnsi="Calibri" w:cs="Calibri"/>
      <w:szCs w:val="22"/>
    </w:rPr>
  </w:style>
  <w:style w:type="character" w:styleId="UnresolvedMention">
    <w:name w:val="Unresolved Mention"/>
    <w:basedOn w:val="DefaultParagraphFont"/>
    <w:uiPriority w:val="99"/>
    <w:semiHidden/>
    <w:unhideWhenUsed/>
    <w:rsid w:val="00A155BC"/>
    <w:rPr>
      <w:color w:val="605E5C"/>
      <w:shd w:val="clear" w:color="auto" w:fill="E1DFDD"/>
    </w:rPr>
  </w:style>
  <w:style w:type="paragraph" w:styleId="BodyText2">
    <w:name w:val="Body Text 2"/>
    <w:basedOn w:val="Normal"/>
    <w:link w:val="BodyText2Char"/>
    <w:rsid w:val="00C51CA3"/>
    <w:pPr>
      <w:spacing w:line="480" w:lineRule="auto"/>
    </w:pPr>
  </w:style>
  <w:style w:type="character" w:customStyle="1" w:styleId="BodyText2Char">
    <w:name w:val="Body Text 2 Char"/>
    <w:basedOn w:val="DefaultParagraphFont"/>
    <w:link w:val="BodyText2"/>
    <w:rsid w:val="00C51CA3"/>
    <w:rPr>
      <w:rFonts w:ascii="Arial" w:hAnsi="Arial"/>
      <w:sz w:val="22"/>
      <w:szCs w:val="24"/>
      <w:lang w:eastAsia="en-AU"/>
    </w:rPr>
  </w:style>
  <w:style w:type="table" w:customStyle="1" w:styleId="TableGrid1">
    <w:name w:val="Table Grid1"/>
    <w:basedOn w:val="TableNormal"/>
    <w:next w:val="TableGrid"/>
    <w:uiPriority w:val="39"/>
    <w:rsid w:val="00357C8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56664"/>
    <w:rPr>
      <w:rFonts w:ascii="Arial" w:hAnsi="Arial"/>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92211">
      <w:bodyDiv w:val="1"/>
      <w:marLeft w:val="0"/>
      <w:marRight w:val="0"/>
      <w:marTop w:val="0"/>
      <w:marBottom w:val="0"/>
      <w:divBdr>
        <w:top w:val="none" w:sz="0" w:space="0" w:color="auto"/>
        <w:left w:val="none" w:sz="0" w:space="0" w:color="auto"/>
        <w:bottom w:val="none" w:sz="0" w:space="0" w:color="auto"/>
        <w:right w:val="none" w:sz="0" w:space="0" w:color="auto"/>
      </w:divBdr>
    </w:div>
    <w:div w:id="427310687">
      <w:bodyDiv w:val="1"/>
      <w:marLeft w:val="0"/>
      <w:marRight w:val="0"/>
      <w:marTop w:val="0"/>
      <w:marBottom w:val="0"/>
      <w:divBdr>
        <w:top w:val="none" w:sz="0" w:space="0" w:color="auto"/>
        <w:left w:val="none" w:sz="0" w:space="0" w:color="auto"/>
        <w:bottom w:val="none" w:sz="0" w:space="0" w:color="auto"/>
        <w:right w:val="none" w:sz="0" w:space="0" w:color="auto"/>
      </w:divBdr>
    </w:div>
    <w:div w:id="554243400">
      <w:bodyDiv w:val="1"/>
      <w:marLeft w:val="0"/>
      <w:marRight w:val="0"/>
      <w:marTop w:val="0"/>
      <w:marBottom w:val="0"/>
      <w:divBdr>
        <w:top w:val="none" w:sz="0" w:space="0" w:color="auto"/>
        <w:left w:val="none" w:sz="0" w:space="0" w:color="auto"/>
        <w:bottom w:val="none" w:sz="0" w:space="0" w:color="auto"/>
        <w:right w:val="none" w:sz="0" w:space="0" w:color="auto"/>
      </w:divBdr>
    </w:div>
    <w:div w:id="1160730113">
      <w:bodyDiv w:val="1"/>
      <w:marLeft w:val="0"/>
      <w:marRight w:val="0"/>
      <w:marTop w:val="0"/>
      <w:marBottom w:val="0"/>
      <w:divBdr>
        <w:top w:val="none" w:sz="0" w:space="0" w:color="auto"/>
        <w:left w:val="none" w:sz="0" w:space="0" w:color="auto"/>
        <w:bottom w:val="none" w:sz="0" w:space="0" w:color="auto"/>
        <w:right w:val="none" w:sz="0" w:space="0" w:color="auto"/>
      </w:divBdr>
    </w:div>
    <w:div w:id="1386611718">
      <w:bodyDiv w:val="1"/>
      <w:marLeft w:val="0"/>
      <w:marRight w:val="0"/>
      <w:marTop w:val="0"/>
      <w:marBottom w:val="0"/>
      <w:divBdr>
        <w:top w:val="none" w:sz="0" w:space="0" w:color="auto"/>
        <w:left w:val="none" w:sz="0" w:space="0" w:color="auto"/>
        <w:bottom w:val="none" w:sz="0" w:space="0" w:color="auto"/>
        <w:right w:val="none" w:sz="0" w:space="0" w:color="auto"/>
      </w:divBdr>
    </w:div>
    <w:div w:id="179852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rboostpayment@dcssds.qld.gov.au"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ld.gov.au/community/caring-child/foster-kinship-care/information-for-carers/money-matters/carer-allowanc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milies.qld.gov.au/our-work/child-safety/resources-publication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port.qld.gov.au/sport/funding-programs/play-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gislation.qld.gov.au/view/html/inforce/current/act-1999-010"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F6FD9BFDE14A0BB49727D675DA6E3F"/>
        <w:category>
          <w:name w:val="General"/>
          <w:gallery w:val="placeholder"/>
        </w:category>
        <w:types>
          <w:type w:val="bbPlcHdr"/>
        </w:types>
        <w:behaviors>
          <w:behavior w:val="content"/>
        </w:behaviors>
        <w:guid w:val="{C8C7F9FD-8323-44FA-AA8C-1F21C155E2B7}"/>
      </w:docPartPr>
      <w:docPartBody>
        <w:p w:rsidR="00105D96" w:rsidRDefault="00105D96" w:rsidP="00105D96">
          <w:pPr>
            <w:pStyle w:val="2FF6FD9BFDE14A0BB49727D675DA6E3F"/>
          </w:pPr>
          <w:r w:rsidRPr="00CB15C0">
            <w:rPr>
              <w:rFonts w:cstheme="minorHAnsi"/>
              <w:color w:val="7F7F7F" w:themeColor="text1" w:themeTint="80"/>
              <w:sz w:val="20"/>
              <w:szCs w:val="20"/>
            </w:rPr>
            <w:t>initials</w:t>
          </w:r>
        </w:p>
      </w:docPartBody>
    </w:docPart>
    <w:docPart>
      <w:docPartPr>
        <w:name w:val="B2D8E4177F1E4ECDA17B156A9BF48146"/>
        <w:category>
          <w:name w:val="General"/>
          <w:gallery w:val="placeholder"/>
        </w:category>
        <w:types>
          <w:type w:val="bbPlcHdr"/>
        </w:types>
        <w:behaviors>
          <w:behavior w:val="content"/>
        </w:behaviors>
        <w:guid w:val="{AAD1B0C2-943F-4B37-9B14-5A6F88DB6798}"/>
      </w:docPartPr>
      <w:docPartBody>
        <w:p w:rsidR="00105D96" w:rsidRDefault="00105D96" w:rsidP="00105D96">
          <w:pPr>
            <w:pStyle w:val="B2D8E4177F1E4ECDA17B156A9BF48146"/>
          </w:pPr>
          <w:r w:rsidRPr="00CB15C0">
            <w:rPr>
              <w:rStyle w:val="PlaceholderText"/>
              <w:sz w:val="20"/>
              <w:szCs w:val="20"/>
            </w:rPr>
            <w:t>Choose activity</w:t>
          </w:r>
        </w:p>
      </w:docPartBody>
    </w:docPart>
    <w:docPart>
      <w:docPartPr>
        <w:name w:val="734FE74800484789AC44DC167FE0F58B"/>
        <w:category>
          <w:name w:val="General"/>
          <w:gallery w:val="placeholder"/>
        </w:category>
        <w:types>
          <w:type w:val="bbPlcHdr"/>
        </w:types>
        <w:behaviors>
          <w:behavior w:val="content"/>
        </w:behaviors>
        <w:guid w:val="{29B85235-8F5E-49BE-AC96-B8A731156826}"/>
      </w:docPartPr>
      <w:docPartBody>
        <w:p w:rsidR="00105D96" w:rsidRDefault="00105D96" w:rsidP="00105D96">
          <w:pPr>
            <w:pStyle w:val="734FE74800484789AC44DC167FE0F58B"/>
          </w:pPr>
          <w:r w:rsidRPr="00CB15C0">
            <w:rPr>
              <w:rStyle w:val="PlaceholderText"/>
              <w:sz w:val="20"/>
              <w:szCs w:val="20"/>
            </w:rPr>
            <w:t>Choose activity</w:t>
          </w:r>
        </w:p>
      </w:docPartBody>
    </w:docPart>
    <w:docPart>
      <w:docPartPr>
        <w:name w:val="31BEE66A90FE47769A4F028DA5CFDCEC"/>
        <w:category>
          <w:name w:val="General"/>
          <w:gallery w:val="placeholder"/>
        </w:category>
        <w:types>
          <w:type w:val="bbPlcHdr"/>
        </w:types>
        <w:behaviors>
          <w:behavior w:val="content"/>
        </w:behaviors>
        <w:guid w:val="{A89B81C5-2A36-44C8-8539-A01FBA88F5D7}"/>
      </w:docPartPr>
      <w:docPartBody>
        <w:p w:rsidR="00105D96" w:rsidRDefault="00105D96" w:rsidP="00105D96">
          <w:pPr>
            <w:pStyle w:val="31BEE66A90FE47769A4F028DA5CFDCEC"/>
          </w:pPr>
          <w:r w:rsidRPr="00CB15C0">
            <w:rPr>
              <w:rStyle w:val="PlaceholderText"/>
              <w:sz w:val="20"/>
              <w:szCs w:val="20"/>
            </w:rPr>
            <w:t>enter text.</w:t>
          </w:r>
        </w:p>
      </w:docPartBody>
    </w:docPart>
    <w:docPart>
      <w:docPartPr>
        <w:name w:val="41057F5E5E8B49B8926522DCCB8D8F1F"/>
        <w:category>
          <w:name w:val="General"/>
          <w:gallery w:val="placeholder"/>
        </w:category>
        <w:types>
          <w:type w:val="bbPlcHdr"/>
        </w:types>
        <w:behaviors>
          <w:behavior w:val="content"/>
        </w:behaviors>
        <w:guid w:val="{45502145-F372-4412-869B-491AF560A357}"/>
      </w:docPartPr>
      <w:docPartBody>
        <w:p w:rsidR="00105D96" w:rsidRDefault="00105D96" w:rsidP="00105D96">
          <w:pPr>
            <w:pStyle w:val="41057F5E5E8B49B8926522DCCB8D8F1F"/>
          </w:pPr>
          <w:r w:rsidRPr="00CB15C0">
            <w:rPr>
              <w:rStyle w:val="PlaceholderText"/>
              <w:sz w:val="20"/>
              <w:szCs w:val="20"/>
            </w:rPr>
            <w:t>CSSC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D96"/>
    <w:rsid w:val="00105D96"/>
    <w:rsid w:val="00306366"/>
    <w:rsid w:val="005A69A9"/>
    <w:rsid w:val="00EE033F"/>
    <w:rsid w:val="00F052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F6FD9BFDE14A0BB49727D675DA6E3F">
    <w:name w:val="2FF6FD9BFDE14A0BB49727D675DA6E3F"/>
    <w:rsid w:val="00105D96"/>
  </w:style>
  <w:style w:type="character" w:styleId="PlaceholderText">
    <w:name w:val="Placeholder Text"/>
    <w:basedOn w:val="DefaultParagraphFont"/>
    <w:uiPriority w:val="99"/>
    <w:semiHidden/>
    <w:rsid w:val="00105D96"/>
    <w:rPr>
      <w:color w:val="808080"/>
    </w:rPr>
  </w:style>
  <w:style w:type="paragraph" w:customStyle="1" w:styleId="B2D8E4177F1E4ECDA17B156A9BF48146">
    <w:name w:val="B2D8E4177F1E4ECDA17B156A9BF48146"/>
    <w:rsid w:val="00105D96"/>
  </w:style>
  <w:style w:type="paragraph" w:customStyle="1" w:styleId="734FE74800484789AC44DC167FE0F58B">
    <w:name w:val="734FE74800484789AC44DC167FE0F58B"/>
    <w:rsid w:val="00105D96"/>
  </w:style>
  <w:style w:type="paragraph" w:customStyle="1" w:styleId="31BEE66A90FE47769A4F028DA5CFDCEC">
    <w:name w:val="31BEE66A90FE47769A4F028DA5CFDCEC"/>
    <w:rsid w:val="00105D96"/>
  </w:style>
  <w:style w:type="paragraph" w:customStyle="1" w:styleId="41057F5E5E8B49B8926522DCCB8D8F1F">
    <w:name w:val="41057F5E5E8B49B8926522DCCB8D8F1F"/>
    <w:rsid w:val="00105D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60</TotalTime>
  <Pages>6</Pages>
  <Words>2342</Words>
  <Characters>13186</Characters>
  <Application>Microsoft Office Word</Application>
  <DocSecurity>8</DocSecurity>
  <Lines>109</Lines>
  <Paragraphs>30</Paragraphs>
  <ScaleCrop>false</ScaleCrop>
  <HeadingPairs>
    <vt:vector size="2" baseType="variant">
      <vt:variant>
        <vt:lpstr>Title</vt:lpstr>
      </vt:variant>
      <vt:variant>
        <vt:i4>1</vt:i4>
      </vt:variant>
    </vt:vector>
  </HeadingPairs>
  <TitlesOfParts>
    <vt:vector size="1" baseType="lpstr">
      <vt:lpstr>FAQ Extracurricular boost payment - Child Safety</vt:lpstr>
    </vt:vector>
  </TitlesOfParts>
  <Manager/>
  <Company/>
  <LinksUpToDate>false</LinksUpToDate>
  <CharactersWithSpaces>15498</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Extracurricular boost payment - Child Safety</dc:title>
  <dc:subject>Carer payments</dc:subject>
  <dc:creator>Queensland Government</dc:creator>
  <cp:keywords>FAQ, fact sheet, extracurricular, activities, boost, payment, Child Safety,</cp:keywords>
  <cp:lastModifiedBy>Eloise Eggleton</cp:lastModifiedBy>
  <cp:revision>9</cp:revision>
  <cp:lastPrinted>2025-06-23T22:45:00Z</cp:lastPrinted>
  <dcterms:created xsi:type="dcterms:W3CDTF">2025-06-23T04:12:00Z</dcterms:created>
  <dcterms:modified xsi:type="dcterms:W3CDTF">2025-06-27T04:45:00Z</dcterms:modified>
  <cp:category>Resource</cp:category>
</cp:coreProperties>
</file>