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C36B0" w14:textId="5B1D837D" w:rsidR="00EA0D60" w:rsidRPr="007F7BB2" w:rsidRDefault="00EA0D60" w:rsidP="00CF7543">
      <w:pPr>
        <w:pStyle w:val="Heading1"/>
        <w:spacing w:before="0" w:after="0" w:line="276" w:lineRule="auto"/>
        <w:rPr>
          <w:rFonts w:ascii="Arial" w:hAnsi="Arial" w:cs="Arial"/>
          <w:color w:val="auto"/>
        </w:rPr>
      </w:pPr>
      <w:bookmarkStart w:id="0" w:name="_Toc152923389"/>
      <w:r w:rsidRPr="00303B5C">
        <w:rPr>
          <w:rFonts w:ascii="Arial" w:hAnsi="Arial" w:cs="Arial"/>
          <w:color w:val="auto"/>
        </w:rPr>
        <w:t>Appendix A – Safety requirements</w:t>
      </w:r>
      <w:bookmarkEnd w:id="0"/>
    </w:p>
    <w:p w14:paraId="49E7C72B" w14:textId="77777777" w:rsidR="008F05BD" w:rsidRPr="00917F22" w:rsidRDefault="008F05BD" w:rsidP="008F05BD">
      <w:pPr>
        <w:pStyle w:val="Heading1"/>
        <w:spacing w:before="0"/>
        <w:rPr>
          <w:rFonts w:ascii="Arial" w:hAnsi="Arial" w:cs="Arial"/>
          <w:sz w:val="22"/>
          <w:szCs w:val="22"/>
        </w:rPr>
      </w:pPr>
    </w:p>
    <w:p w14:paraId="5BD0A8AB" w14:textId="77777777" w:rsidR="008F05BD" w:rsidRPr="00194C32" w:rsidRDefault="008F05BD" w:rsidP="008F05BD">
      <w:pPr>
        <w:pBdr>
          <w:top w:val="single" w:sz="4" w:space="1" w:color="auto"/>
          <w:left w:val="single" w:sz="4" w:space="4" w:color="auto"/>
          <w:bottom w:val="single" w:sz="4" w:space="1" w:color="auto"/>
          <w:right w:val="single" w:sz="4" w:space="4" w:color="auto"/>
        </w:pBdr>
        <w:spacing w:after="0" w:line="276" w:lineRule="auto"/>
        <w:rPr>
          <w:i/>
          <w:iCs/>
          <w:color w:val="002060"/>
        </w:rPr>
      </w:pPr>
      <w:r w:rsidRPr="00194C32">
        <w:rPr>
          <w:color w:val="002060"/>
        </w:rPr>
        <w:t xml:space="preserve">This document is to be read in conjunction with </w:t>
      </w:r>
      <w:r w:rsidRPr="00194C32">
        <w:rPr>
          <w:i/>
          <w:iCs/>
          <w:color w:val="002060"/>
        </w:rPr>
        <w:t>HSQF User Guide – Certification – Version 10.0.</w:t>
      </w:r>
    </w:p>
    <w:p w14:paraId="6EE3961D" w14:textId="77777777" w:rsidR="008F05BD" w:rsidRPr="00E14FB2" w:rsidRDefault="008F05BD" w:rsidP="008F05BD">
      <w:pPr>
        <w:spacing w:after="0" w:line="276" w:lineRule="auto"/>
      </w:pPr>
    </w:p>
    <w:p w14:paraId="118AB4B7" w14:textId="434E29CF" w:rsidR="00EA0D60" w:rsidRPr="00DA57FC" w:rsidRDefault="00EA0D60" w:rsidP="00DA57FC">
      <w:pPr>
        <w:spacing w:after="0" w:line="276" w:lineRule="auto"/>
        <w:rPr>
          <w:sz w:val="22"/>
          <w:szCs w:val="22"/>
        </w:rPr>
      </w:pPr>
      <w:r w:rsidRPr="00DA57FC">
        <w:rPr>
          <w:sz w:val="22"/>
          <w:szCs w:val="22"/>
        </w:rPr>
        <w:t xml:space="preserve">Appendix A includes some of the legislative, regulatory or policy requirements that organisations may need to meet in order to demonstrate compliance with indicator 4.2, specifically that they have documented and implemented processes to ensure safe environments for people using services. </w:t>
      </w:r>
      <w:r w:rsidR="00286CB3" w:rsidRPr="00DA57FC">
        <w:rPr>
          <w:sz w:val="22"/>
          <w:szCs w:val="22"/>
        </w:rPr>
        <w:br/>
      </w:r>
    </w:p>
    <w:p w14:paraId="11437B7E" w14:textId="77777777" w:rsidR="00EA0D60" w:rsidRPr="00DA57FC" w:rsidRDefault="00EA0D60" w:rsidP="00DA57FC">
      <w:pPr>
        <w:spacing w:after="0" w:line="276" w:lineRule="auto"/>
        <w:rPr>
          <w:sz w:val="22"/>
          <w:szCs w:val="22"/>
        </w:rPr>
      </w:pPr>
      <w:r w:rsidRPr="00DA57FC">
        <w:rPr>
          <w:sz w:val="22"/>
          <w:szCs w:val="22"/>
        </w:rPr>
        <w:t xml:space="preserve">The actual requirements that each organisation needs to meet will depend on the types of services they are delivering and their service delivery environment. </w:t>
      </w:r>
      <w:r w:rsidRPr="00DA57FC">
        <w:rPr>
          <w:sz w:val="22"/>
          <w:szCs w:val="22"/>
        </w:rPr>
        <w:br/>
      </w:r>
    </w:p>
    <w:p w14:paraId="64E54E4A" w14:textId="77777777" w:rsidR="00EA0D60" w:rsidRPr="00A715D0" w:rsidRDefault="00EA0D60" w:rsidP="00DA57FC">
      <w:pPr>
        <w:spacing w:after="0" w:line="276" w:lineRule="auto"/>
        <w:rPr>
          <w:b/>
        </w:rPr>
      </w:pPr>
      <w:r w:rsidRPr="00A715D0">
        <w:rPr>
          <w:b/>
        </w:rPr>
        <w:t>Anti-bullying and cyberbullying</w:t>
      </w:r>
    </w:p>
    <w:p w14:paraId="4BF94B97" w14:textId="77777777" w:rsidR="00EA0D60" w:rsidRPr="00DA57FC" w:rsidRDefault="00EA0D60" w:rsidP="00DA57FC">
      <w:pPr>
        <w:spacing w:after="0" w:line="276" w:lineRule="auto"/>
        <w:rPr>
          <w:sz w:val="22"/>
          <w:szCs w:val="22"/>
        </w:rPr>
      </w:pPr>
      <w:r w:rsidRPr="00DA57FC">
        <w:rPr>
          <w:sz w:val="22"/>
          <w:szCs w:val="22"/>
        </w:rPr>
        <w:t>Organisations providing services primarily to children and young people are required to demonstrate that they have documented and implemented processes to ensure safe environments in relation to anti-bullying and cyberbullying, including how:</w:t>
      </w:r>
    </w:p>
    <w:p w14:paraId="35D5D079" w14:textId="77777777" w:rsidR="00EA0D60" w:rsidRPr="00DA57FC" w:rsidRDefault="00EA0D60" w:rsidP="00DA57FC">
      <w:pPr>
        <w:numPr>
          <w:ilvl w:val="0"/>
          <w:numId w:val="1"/>
        </w:numPr>
        <w:spacing w:after="0" w:line="276" w:lineRule="auto"/>
        <w:ind w:left="397"/>
        <w:rPr>
          <w:sz w:val="22"/>
          <w:szCs w:val="22"/>
        </w:rPr>
      </w:pPr>
      <w:r w:rsidRPr="00DA57FC">
        <w:rPr>
          <w:sz w:val="22"/>
          <w:szCs w:val="22"/>
        </w:rPr>
        <w:t>Staff are trained to identify and respond to bullying and cyberbullying.</w:t>
      </w:r>
    </w:p>
    <w:p w14:paraId="66AB8C05" w14:textId="77777777" w:rsidR="00EA0D60" w:rsidRPr="00DA57FC" w:rsidRDefault="00EA0D60" w:rsidP="00DA57FC">
      <w:pPr>
        <w:numPr>
          <w:ilvl w:val="0"/>
          <w:numId w:val="1"/>
        </w:numPr>
        <w:spacing w:after="0" w:line="276" w:lineRule="auto"/>
        <w:ind w:left="397"/>
        <w:rPr>
          <w:sz w:val="22"/>
          <w:szCs w:val="22"/>
        </w:rPr>
      </w:pPr>
      <w:r w:rsidRPr="00DA57FC">
        <w:rPr>
          <w:sz w:val="22"/>
          <w:szCs w:val="22"/>
        </w:rPr>
        <w:t>Safe online environments are maintained without compromising young people’s privacy or access to social or learning opportunities.</w:t>
      </w:r>
    </w:p>
    <w:p w14:paraId="5E278264" w14:textId="77777777" w:rsidR="00EA0D60" w:rsidRPr="00DA57FC" w:rsidRDefault="00EA0D60" w:rsidP="00DA57FC">
      <w:pPr>
        <w:numPr>
          <w:ilvl w:val="0"/>
          <w:numId w:val="1"/>
        </w:numPr>
        <w:spacing w:after="0" w:line="276" w:lineRule="auto"/>
        <w:ind w:left="397"/>
        <w:rPr>
          <w:sz w:val="22"/>
          <w:szCs w:val="22"/>
        </w:rPr>
      </w:pPr>
      <w:r w:rsidRPr="00DA57FC">
        <w:rPr>
          <w:sz w:val="22"/>
          <w:szCs w:val="22"/>
        </w:rPr>
        <w:t>The resources produced by the e-safety commissioner and other bodies are made available to children and young people.</w:t>
      </w:r>
    </w:p>
    <w:p w14:paraId="2CC229B8" w14:textId="77777777" w:rsidR="00EA0D60" w:rsidRPr="00DA57FC" w:rsidRDefault="00EA0D60" w:rsidP="00DA57FC">
      <w:pPr>
        <w:numPr>
          <w:ilvl w:val="0"/>
          <w:numId w:val="1"/>
        </w:numPr>
        <w:spacing w:after="0" w:line="276" w:lineRule="auto"/>
        <w:ind w:left="397"/>
        <w:rPr>
          <w:sz w:val="22"/>
          <w:szCs w:val="22"/>
        </w:rPr>
      </w:pPr>
      <w:r w:rsidRPr="00DA57FC">
        <w:rPr>
          <w:sz w:val="22"/>
          <w:szCs w:val="22"/>
        </w:rPr>
        <w:t>Children and young people can access assistance should they experience bullying or cyberbullying.</w:t>
      </w:r>
    </w:p>
    <w:p w14:paraId="2FC74732" w14:textId="77777777" w:rsidR="00EA0D60" w:rsidRPr="00DA57FC" w:rsidRDefault="00EA0D60" w:rsidP="00DA57FC">
      <w:pPr>
        <w:numPr>
          <w:ilvl w:val="0"/>
          <w:numId w:val="1"/>
        </w:numPr>
        <w:spacing w:after="0" w:line="276" w:lineRule="auto"/>
        <w:ind w:left="397"/>
        <w:rPr>
          <w:sz w:val="22"/>
          <w:szCs w:val="22"/>
        </w:rPr>
      </w:pPr>
      <w:r w:rsidRPr="00DA57FC">
        <w:rPr>
          <w:sz w:val="22"/>
          <w:szCs w:val="22"/>
        </w:rPr>
        <w:t>House and/or ground rules for group work are clear that bullying or cyberbullying are not acceptable behaviours.</w:t>
      </w:r>
    </w:p>
    <w:p w14:paraId="0B030A5B" w14:textId="77777777" w:rsidR="00EA0D60" w:rsidRPr="00DA57FC" w:rsidRDefault="00EA0D60" w:rsidP="00DA57FC">
      <w:pPr>
        <w:numPr>
          <w:ilvl w:val="0"/>
          <w:numId w:val="1"/>
        </w:numPr>
        <w:spacing w:after="0" w:line="276" w:lineRule="auto"/>
        <w:ind w:left="397"/>
        <w:rPr>
          <w:sz w:val="22"/>
          <w:szCs w:val="22"/>
        </w:rPr>
      </w:pPr>
      <w:r w:rsidRPr="00DA57FC">
        <w:rPr>
          <w:sz w:val="22"/>
          <w:szCs w:val="22"/>
        </w:rPr>
        <w:t>Promotional materials are displayed within the service/s making it clear that bullying or cyberbullying is not acceptable.</w:t>
      </w:r>
    </w:p>
    <w:p w14:paraId="0EB0F996" w14:textId="77777777" w:rsidR="00EA0D60" w:rsidRPr="00DA57FC" w:rsidRDefault="00EA0D60" w:rsidP="00DA57FC">
      <w:pPr>
        <w:numPr>
          <w:ilvl w:val="0"/>
          <w:numId w:val="1"/>
        </w:numPr>
        <w:spacing w:after="0" w:line="276" w:lineRule="auto"/>
        <w:ind w:left="397" w:hanging="357"/>
        <w:rPr>
          <w:sz w:val="22"/>
          <w:szCs w:val="22"/>
        </w:rPr>
      </w:pPr>
      <w:r w:rsidRPr="00DA57FC">
        <w:rPr>
          <w:sz w:val="22"/>
          <w:szCs w:val="22"/>
        </w:rPr>
        <w:t>The connection to external expertise (as required) is facilitated and managed, to respond to incidents of bullying or cyberbullying.</w:t>
      </w:r>
      <w:r w:rsidRPr="00DA57FC">
        <w:rPr>
          <w:sz w:val="22"/>
          <w:szCs w:val="22"/>
        </w:rPr>
        <w:br/>
      </w:r>
    </w:p>
    <w:p w14:paraId="3663AFA2" w14:textId="77777777" w:rsidR="00EA0D60" w:rsidRPr="00DA57FC" w:rsidRDefault="00EA0D60" w:rsidP="00DA57FC">
      <w:pPr>
        <w:spacing w:after="0" w:line="276" w:lineRule="auto"/>
        <w:rPr>
          <w:sz w:val="22"/>
          <w:szCs w:val="22"/>
        </w:rPr>
      </w:pPr>
      <w:r w:rsidRPr="00DA57FC">
        <w:rPr>
          <w:sz w:val="22"/>
          <w:szCs w:val="22"/>
        </w:rPr>
        <w:t>Organisations should also ensure they comply with all the elements of legislative, regulatory and policy requirements that apply to them, including (but not limited to):</w:t>
      </w:r>
    </w:p>
    <w:p w14:paraId="29559FE9" w14:textId="77777777" w:rsidR="00EA0D60" w:rsidRPr="00DA57FC" w:rsidRDefault="00EA0D60" w:rsidP="00DA57FC">
      <w:pPr>
        <w:pStyle w:val="ListParagraph"/>
        <w:numPr>
          <w:ilvl w:val="0"/>
          <w:numId w:val="1"/>
        </w:numPr>
        <w:spacing w:after="0" w:line="276" w:lineRule="auto"/>
        <w:ind w:left="417"/>
        <w:contextualSpacing w:val="0"/>
        <w:rPr>
          <w:sz w:val="22"/>
          <w:szCs w:val="22"/>
        </w:rPr>
      </w:pPr>
      <w:r w:rsidRPr="00DA57FC">
        <w:rPr>
          <w:sz w:val="22"/>
          <w:szCs w:val="22"/>
        </w:rPr>
        <w:t>Fire safety</w:t>
      </w:r>
      <w:r w:rsidRPr="00DA57FC">
        <w:rPr>
          <w:rStyle w:val="FootnoteReference"/>
          <w:rFonts w:cs="Arial"/>
          <w:sz w:val="22"/>
          <w:szCs w:val="22"/>
        </w:rPr>
        <w:footnoteReference w:id="1"/>
      </w:r>
    </w:p>
    <w:p w14:paraId="54E4811D" w14:textId="77777777" w:rsidR="00EA0D60" w:rsidRPr="00DA57FC" w:rsidRDefault="00EA0D60" w:rsidP="00DA57FC">
      <w:pPr>
        <w:pStyle w:val="ListParagraph"/>
        <w:numPr>
          <w:ilvl w:val="0"/>
          <w:numId w:val="1"/>
        </w:numPr>
        <w:spacing w:after="0" w:line="276" w:lineRule="auto"/>
        <w:ind w:left="417"/>
        <w:contextualSpacing w:val="0"/>
        <w:rPr>
          <w:sz w:val="22"/>
          <w:szCs w:val="22"/>
        </w:rPr>
      </w:pPr>
      <w:r w:rsidRPr="00DA57FC">
        <w:rPr>
          <w:sz w:val="22"/>
          <w:szCs w:val="22"/>
        </w:rPr>
        <w:t>Electrical safety</w:t>
      </w:r>
    </w:p>
    <w:p w14:paraId="5D3A1CB6" w14:textId="77777777" w:rsidR="00EA0D60" w:rsidRPr="00DA57FC" w:rsidRDefault="00EA0D60" w:rsidP="00DA57FC">
      <w:pPr>
        <w:pStyle w:val="ListParagraph"/>
        <w:numPr>
          <w:ilvl w:val="0"/>
          <w:numId w:val="1"/>
        </w:numPr>
        <w:spacing w:after="0" w:line="276" w:lineRule="auto"/>
        <w:ind w:left="417"/>
        <w:contextualSpacing w:val="0"/>
        <w:rPr>
          <w:sz w:val="22"/>
          <w:szCs w:val="22"/>
        </w:rPr>
      </w:pPr>
      <w:r w:rsidRPr="00DA57FC">
        <w:rPr>
          <w:sz w:val="22"/>
          <w:szCs w:val="22"/>
        </w:rPr>
        <w:t>Pool safety</w:t>
      </w:r>
    </w:p>
    <w:p w14:paraId="196C5088" w14:textId="77777777" w:rsidR="00EA0D60" w:rsidRPr="00DA57FC" w:rsidRDefault="00EA0D60" w:rsidP="00DA57FC">
      <w:pPr>
        <w:pStyle w:val="ListParagraph"/>
        <w:numPr>
          <w:ilvl w:val="0"/>
          <w:numId w:val="1"/>
        </w:numPr>
        <w:spacing w:after="0" w:line="276" w:lineRule="auto"/>
        <w:ind w:left="417"/>
        <w:contextualSpacing w:val="0"/>
        <w:rPr>
          <w:sz w:val="22"/>
          <w:szCs w:val="22"/>
        </w:rPr>
      </w:pPr>
      <w:r w:rsidRPr="00DA57FC">
        <w:rPr>
          <w:sz w:val="22"/>
          <w:szCs w:val="22"/>
        </w:rPr>
        <w:t>Security measures</w:t>
      </w:r>
    </w:p>
    <w:p w14:paraId="6B5A1FC9" w14:textId="77777777" w:rsidR="00EA0D60" w:rsidRPr="00DA57FC" w:rsidRDefault="00EA0D60" w:rsidP="00DA57FC">
      <w:pPr>
        <w:pStyle w:val="ListParagraph"/>
        <w:numPr>
          <w:ilvl w:val="0"/>
          <w:numId w:val="1"/>
        </w:numPr>
        <w:spacing w:after="0" w:line="276" w:lineRule="auto"/>
        <w:ind w:left="417"/>
        <w:contextualSpacing w:val="0"/>
        <w:rPr>
          <w:sz w:val="22"/>
          <w:szCs w:val="22"/>
        </w:rPr>
      </w:pPr>
      <w:r w:rsidRPr="00DA57FC">
        <w:rPr>
          <w:sz w:val="22"/>
          <w:szCs w:val="22"/>
        </w:rPr>
        <w:t>Hot water safety</w:t>
      </w:r>
    </w:p>
    <w:p w14:paraId="7B824C90" w14:textId="77777777" w:rsidR="00EA0D60" w:rsidRPr="00DA57FC" w:rsidRDefault="00EA0D60" w:rsidP="00DA57FC">
      <w:pPr>
        <w:pStyle w:val="ListParagraph"/>
        <w:numPr>
          <w:ilvl w:val="0"/>
          <w:numId w:val="1"/>
        </w:numPr>
        <w:spacing w:after="0" w:line="276" w:lineRule="auto"/>
        <w:ind w:left="417"/>
        <w:contextualSpacing w:val="0"/>
        <w:rPr>
          <w:sz w:val="22"/>
          <w:szCs w:val="22"/>
        </w:rPr>
      </w:pPr>
      <w:r w:rsidRPr="00DA57FC">
        <w:rPr>
          <w:sz w:val="22"/>
          <w:szCs w:val="22"/>
        </w:rPr>
        <w:t>Maintenance and management of building and equipment, safety equipment, furniture, lighting and ventilation</w:t>
      </w:r>
    </w:p>
    <w:p w14:paraId="50C03BE7" w14:textId="77777777" w:rsidR="00EA0D60" w:rsidRPr="00DA57FC" w:rsidRDefault="00EA0D60" w:rsidP="00DA57FC">
      <w:pPr>
        <w:pStyle w:val="ListParagraph"/>
        <w:numPr>
          <w:ilvl w:val="0"/>
          <w:numId w:val="1"/>
        </w:numPr>
        <w:spacing w:after="0" w:line="276" w:lineRule="auto"/>
        <w:ind w:left="417"/>
        <w:contextualSpacing w:val="0"/>
        <w:rPr>
          <w:sz w:val="22"/>
          <w:szCs w:val="22"/>
        </w:rPr>
      </w:pPr>
      <w:r w:rsidRPr="00DA57FC">
        <w:rPr>
          <w:sz w:val="22"/>
          <w:szCs w:val="22"/>
        </w:rPr>
        <w:t>General vehicle safety</w:t>
      </w:r>
    </w:p>
    <w:p w14:paraId="79C6F60A" w14:textId="77777777" w:rsidR="00EA0D60" w:rsidRPr="00DA57FC" w:rsidRDefault="00EA0D60" w:rsidP="00DA57FC">
      <w:pPr>
        <w:pStyle w:val="ListParagraph"/>
        <w:numPr>
          <w:ilvl w:val="0"/>
          <w:numId w:val="1"/>
        </w:numPr>
        <w:spacing w:after="0" w:line="276" w:lineRule="auto"/>
        <w:ind w:left="417"/>
        <w:contextualSpacing w:val="0"/>
        <w:rPr>
          <w:sz w:val="22"/>
          <w:szCs w:val="22"/>
        </w:rPr>
      </w:pPr>
      <w:r w:rsidRPr="00DA57FC">
        <w:rPr>
          <w:sz w:val="22"/>
          <w:szCs w:val="22"/>
        </w:rPr>
        <w:t>Physical accessibility</w:t>
      </w:r>
    </w:p>
    <w:p w14:paraId="60D9D7C4" w14:textId="77777777" w:rsidR="00EA0D60" w:rsidRPr="00DA57FC" w:rsidRDefault="00EA0D60" w:rsidP="00DA57FC">
      <w:pPr>
        <w:pStyle w:val="ListParagraph"/>
        <w:numPr>
          <w:ilvl w:val="0"/>
          <w:numId w:val="1"/>
        </w:numPr>
        <w:spacing w:after="0" w:line="276" w:lineRule="auto"/>
        <w:ind w:left="417"/>
        <w:contextualSpacing w:val="0"/>
        <w:rPr>
          <w:sz w:val="22"/>
          <w:szCs w:val="22"/>
        </w:rPr>
      </w:pPr>
      <w:r w:rsidRPr="00DA57FC">
        <w:rPr>
          <w:sz w:val="22"/>
          <w:szCs w:val="22"/>
        </w:rPr>
        <w:lastRenderedPageBreak/>
        <w:t>Chemical use and storage</w:t>
      </w:r>
    </w:p>
    <w:p w14:paraId="2037570B" w14:textId="77777777" w:rsidR="00EA0D60" w:rsidRPr="00DA57FC" w:rsidRDefault="00EA0D60" w:rsidP="00DA57FC">
      <w:pPr>
        <w:pStyle w:val="ListParagraph"/>
        <w:numPr>
          <w:ilvl w:val="0"/>
          <w:numId w:val="1"/>
        </w:numPr>
        <w:spacing w:after="0" w:line="276" w:lineRule="auto"/>
        <w:ind w:left="417"/>
        <w:contextualSpacing w:val="0"/>
        <w:rPr>
          <w:sz w:val="22"/>
          <w:szCs w:val="22"/>
        </w:rPr>
      </w:pPr>
      <w:r w:rsidRPr="00DA57FC">
        <w:rPr>
          <w:sz w:val="22"/>
          <w:szCs w:val="22"/>
        </w:rPr>
        <w:t>Infection control</w:t>
      </w:r>
    </w:p>
    <w:p w14:paraId="0612F680" w14:textId="77777777" w:rsidR="00EA0D60" w:rsidRPr="00DA57FC" w:rsidRDefault="00EA0D60" w:rsidP="00DA57FC">
      <w:pPr>
        <w:pStyle w:val="ListParagraph"/>
        <w:numPr>
          <w:ilvl w:val="0"/>
          <w:numId w:val="1"/>
        </w:numPr>
        <w:spacing w:after="0" w:line="276" w:lineRule="auto"/>
        <w:ind w:left="417"/>
        <w:contextualSpacing w:val="0"/>
        <w:rPr>
          <w:sz w:val="22"/>
          <w:szCs w:val="22"/>
        </w:rPr>
      </w:pPr>
      <w:r w:rsidRPr="00DA57FC">
        <w:rPr>
          <w:sz w:val="22"/>
          <w:szCs w:val="22"/>
        </w:rPr>
        <w:t>Medication storage and management</w:t>
      </w:r>
    </w:p>
    <w:p w14:paraId="20873424" w14:textId="77777777" w:rsidR="00EA0D60" w:rsidRPr="00DA57FC" w:rsidRDefault="00EA0D60" w:rsidP="00DA57FC">
      <w:pPr>
        <w:pStyle w:val="ListParagraph"/>
        <w:numPr>
          <w:ilvl w:val="0"/>
          <w:numId w:val="1"/>
        </w:numPr>
        <w:spacing w:after="0" w:line="276" w:lineRule="auto"/>
        <w:ind w:left="417"/>
        <w:contextualSpacing w:val="0"/>
        <w:rPr>
          <w:sz w:val="22"/>
          <w:szCs w:val="22"/>
        </w:rPr>
      </w:pPr>
      <w:r w:rsidRPr="00DA57FC">
        <w:rPr>
          <w:sz w:val="22"/>
          <w:szCs w:val="22"/>
        </w:rPr>
        <w:t>waste management</w:t>
      </w:r>
    </w:p>
    <w:p w14:paraId="7DE7FFEC" w14:textId="77777777" w:rsidR="00EA0D60" w:rsidRPr="00DA57FC" w:rsidRDefault="00EA0D60" w:rsidP="00DA57FC">
      <w:pPr>
        <w:pStyle w:val="ListParagraph"/>
        <w:numPr>
          <w:ilvl w:val="0"/>
          <w:numId w:val="1"/>
        </w:numPr>
        <w:spacing w:after="0" w:line="276" w:lineRule="auto"/>
        <w:ind w:left="417"/>
        <w:contextualSpacing w:val="0"/>
        <w:rPr>
          <w:sz w:val="22"/>
          <w:szCs w:val="22"/>
        </w:rPr>
      </w:pPr>
      <w:r w:rsidRPr="00DA57FC">
        <w:rPr>
          <w:sz w:val="22"/>
          <w:szCs w:val="22"/>
        </w:rPr>
        <w:t xml:space="preserve">Food safety.  </w:t>
      </w:r>
      <w:r w:rsidRPr="00DA57FC">
        <w:rPr>
          <w:sz w:val="22"/>
          <w:szCs w:val="22"/>
        </w:rPr>
        <w:br/>
      </w:r>
    </w:p>
    <w:p w14:paraId="4851FF70" w14:textId="77777777" w:rsidR="00EA0D60" w:rsidRPr="00DA57FC" w:rsidRDefault="00EA0D60" w:rsidP="00DA57FC">
      <w:pPr>
        <w:spacing w:after="0" w:line="276" w:lineRule="auto"/>
        <w:rPr>
          <w:sz w:val="22"/>
          <w:szCs w:val="22"/>
        </w:rPr>
      </w:pPr>
      <w:r w:rsidRPr="00DA57FC">
        <w:rPr>
          <w:sz w:val="22"/>
          <w:szCs w:val="22"/>
        </w:rPr>
        <w:t>Licensed placement services must also refer to the mandatory requirements for Child Protection Placement Services in indicator 4.2. Links to further resources can be found in Appendix B.</w:t>
      </w:r>
      <w:r w:rsidRPr="00DA57FC">
        <w:rPr>
          <w:sz w:val="22"/>
          <w:szCs w:val="22"/>
        </w:rPr>
        <w:br/>
      </w:r>
    </w:p>
    <w:p w14:paraId="0CC14B86" w14:textId="77777777" w:rsidR="00EA0D60" w:rsidRPr="00A715D0" w:rsidRDefault="00EA0D60" w:rsidP="00DA57FC">
      <w:pPr>
        <w:spacing w:after="0" w:line="276" w:lineRule="auto"/>
        <w:rPr>
          <w:b/>
          <w:bCs/>
        </w:rPr>
      </w:pPr>
      <w:bookmarkStart w:id="1" w:name="FireSafety"/>
      <w:r w:rsidRPr="00A715D0">
        <w:rPr>
          <w:b/>
          <w:bCs/>
        </w:rPr>
        <w:t>Fire safety – minimum requirements to be demonstrated</w:t>
      </w:r>
    </w:p>
    <w:bookmarkEnd w:id="1"/>
    <w:p w14:paraId="6E7B135E" w14:textId="77777777" w:rsidR="00EA0D60" w:rsidRPr="00DA57FC" w:rsidRDefault="00EA0D60" w:rsidP="00DA57FC">
      <w:pPr>
        <w:spacing w:after="0" w:line="276" w:lineRule="auto"/>
        <w:rPr>
          <w:sz w:val="22"/>
          <w:szCs w:val="22"/>
        </w:rPr>
      </w:pPr>
      <w:r w:rsidRPr="00DA57FC">
        <w:rPr>
          <w:sz w:val="22"/>
          <w:szCs w:val="22"/>
        </w:rPr>
        <w:t>Organisations will document and implement processes to promote fire safety in accordance with all fire safety, work health and safety legislative and policy requirements</w:t>
      </w:r>
      <w:r w:rsidRPr="00DA57FC">
        <w:rPr>
          <w:rStyle w:val="FootnoteReference"/>
          <w:rFonts w:cs="Arial"/>
          <w:sz w:val="22"/>
          <w:szCs w:val="22"/>
        </w:rPr>
        <w:footnoteReference w:id="2"/>
      </w:r>
      <w:r w:rsidRPr="00DA57FC">
        <w:rPr>
          <w:sz w:val="22"/>
          <w:szCs w:val="22"/>
        </w:rPr>
        <w:t>.</w:t>
      </w:r>
    </w:p>
    <w:p w14:paraId="02A2E621" w14:textId="7DE7FB8C" w:rsidR="00EA0D60" w:rsidRPr="00DA57FC" w:rsidRDefault="00EA0D60" w:rsidP="00DA57FC">
      <w:pPr>
        <w:spacing w:after="0" w:line="276" w:lineRule="auto"/>
        <w:rPr>
          <w:sz w:val="22"/>
          <w:szCs w:val="22"/>
        </w:rPr>
      </w:pPr>
      <w:r w:rsidRPr="00DA57FC">
        <w:rPr>
          <w:sz w:val="22"/>
          <w:szCs w:val="22"/>
        </w:rPr>
        <w:t xml:space="preserve">If you require assistance in understanding your obligations, please refer to the Queensland Fire and Emergency Services website </w:t>
      </w:r>
      <w:hyperlink r:id="rId10" w:history="1">
        <w:r w:rsidRPr="00DA57FC">
          <w:rPr>
            <w:rStyle w:val="Hyperlink"/>
            <w:rFonts w:cs="Arial"/>
            <w:sz w:val="22"/>
            <w:szCs w:val="22"/>
          </w:rPr>
          <w:t>here</w:t>
        </w:r>
      </w:hyperlink>
      <w:r w:rsidRPr="00413D32">
        <w:t xml:space="preserve"> </w:t>
      </w:r>
      <w:r w:rsidRPr="00DA57FC">
        <w:rPr>
          <w:sz w:val="22"/>
          <w:szCs w:val="22"/>
        </w:rPr>
        <w:t>or contact a licensed fire advisory company (charges may apply).</w:t>
      </w:r>
      <w:r w:rsidRPr="00DA57FC">
        <w:rPr>
          <w:sz w:val="22"/>
          <w:szCs w:val="22"/>
        </w:rPr>
        <w:br/>
      </w:r>
    </w:p>
    <w:p w14:paraId="3E631F89" w14:textId="77777777" w:rsidR="00EA0D60" w:rsidRPr="00DA57FC" w:rsidRDefault="00EA0D60" w:rsidP="00DA57FC">
      <w:pPr>
        <w:spacing w:after="0" w:line="276" w:lineRule="auto"/>
        <w:rPr>
          <w:sz w:val="22"/>
          <w:szCs w:val="22"/>
        </w:rPr>
      </w:pPr>
      <w:r w:rsidRPr="00DA57FC">
        <w:rPr>
          <w:sz w:val="22"/>
          <w:szCs w:val="22"/>
        </w:rPr>
        <w:t xml:space="preserve">The </w:t>
      </w:r>
      <w:r w:rsidRPr="00DA57FC">
        <w:rPr>
          <w:b/>
          <w:bCs/>
          <w:sz w:val="22"/>
          <w:szCs w:val="22"/>
          <w:u w:val="single"/>
        </w:rPr>
        <w:t>minimum</w:t>
      </w:r>
      <w:r w:rsidRPr="00DA57FC">
        <w:rPr>
          <w:sz w:val="22"/>
          <w:szCs w:val="22"/>
        </w:rPr>
        <w:t xml:space="preserve"> expectations of what will be reviewed and reported on at each audit are included below, however organisations should understand their responsibility to comply with all relevant obligations dependent on the type of building.  </w:t>
      </w:r>
      <w:r w:rsidRPr="00DA57FC">
        <w:rPr>
          <w:sz w:val="22"/>
          <w:szCs w:val="22"/>
        </w:rPr>
        <w:br/>
      </w:r>
    </w:p>
    <w:p w14:paraId="7BBD904D" w14:textId="77777777" w:rsidR="00EA0D60" w:rsidRPr="00DA57FC" w:rsidRDefault="00EA0D60" w:rsidP="00DA57FC">
      <w:pPr>
        <w:spacing w:after="0" w:line="276" w:lineRule="auto"/>
        <w:rPr>
          <w:bCs/>
          <w:sz w:val="22"/>
          <w:szCs w:val="22"/>
          <w:u w:val="single"/>
        </w:rPr>
      </w:pPr>
      <w:r w:rsidRPr="00DA57FC">
        <w:rPr>
          <w:bCs/>
          <w:sz w:val="22"/>
          <w:szCs w:val="22"/>
          <w:u w:val="single"/>
        </w:rPr>
        <w:t xml:space="preserve">Office or service centre environment </w:t>
      </w:r>
    </w:p>
    <w:p w14:paraId="3255E065" w14:textId="77777777" w:rsidR="00EA0D60" w:rsidRPr="00DA57FC" w:rsidRDefault="00EA0D60" w:rsidP="00DA57FC">
      <w:pPr>
        <w:spacing w:after="0" w:line="276" w:lineRule="auto"/>
        <w:rPr>
          <w:sz w:val="22"/>
          <w:szCs w:val="22"/>
        </w:rPr>
      </w:pPr>
      <w:r w:rsidRPr="00DA57FC">
        <w:rPr>
          <w:sz w:val="22"/>
          <w:szCs w:val="22"/>
        </w:rPr>
        <w:t xml:space="preserve">For funded services delivered to service users from an office, service centre or </w:t>
      </w:r>
      <w:bookmarkStart w:id="2" w:name="_Hlk73003816"/>
      <w:r w:rsidRPr="00DA57FC">
        <w:rPr>
          <w:sz w:val="22"/>
          <w:szCs w:val="22"/>
        </w:rPr>
        <w:t>specially constructed multi-occupancy residential site</w:t>
      </w:r>
      <w:bookmarkEnd w:id="2"/>
      <w:r w:rsidRPr="00DA57FC">
        <w:rPr>
          <w:sz w:val="22"/>
          <w:szCs w:val="22"/>
        </w:rPr>
        <w:t xml:space="preserve"> (which may include Safe Houses and other child safety residential care sites, women’s shelters and other similar sites):</w:t>
      </w:r>
    </w:p>
    <w:p w14:paraId="238E5770" w14:textId="77777777" w:rsidR="00EA0D60" w:rsidRPr="00DA57FC" w:rsidRDefault="00EA0D60" w:rsidP="00DA57FC">
      <w:pPr>
        <w:pStyle w:val="ListParagraph"/>
        <w:numPr>
          <w:ilvl w:val="0"/>
          <w:numId w:val="1"/>
        </w:numPr>
        <w:spacing w:after="0" w:line="276" w:lineRule="auto"/>
        <w:ind w:left="340"/>
        <w:rPr>
          <w:sz w:val="22"/>
          <w:szCs w:val="22"/>
        </w:rPr>
      </w:pPr>
      <w:bookmarkStart w:id="3" w:name="_Hlk72927288"/>
      <w:r w:rsidRPr="00DA57FC">
        <w:rPr>
          <w:sz w:val="22"/>
          <w:szCs w:val="22"/>
        </w:rPr>
        <w:t xml:space="preserve">A written fire and emergency evacuation plan which is reviewed annually. Organisations which are occupiers of part of a multi-occupancy building, such as a high-rise building or a shopping centre, are required to have their own fire and evacuation plan which complements the Body Corporate or Centre Manager’s plan. </w:t>
      </w:r>
    </w:p>
    <w:p w14:paraId="26BD27E0" w14:textId="77777777" w:rsidR="00EA0D60" w:rsidRPr="00DA57FC" w:rsidRDefault="00EA0D60" w:rsidP="00DA57FC">
      <w:pPr>
        <w:pStyle w:val="ListParagraph"/>
        <w:numPr>
          <w:ilvl w:val="0"/>
          <w:numId w:val="1"/>
        </w:numPr>
        <w:spacing w:after="0" w:line="276" w:lineRule="auto"/>
        <w:ind w:left="340"/>
        <w:rPr>
          <w:sz w:val="22"/>
          <w:szCs w:val="22"/>
        </w:rPr>
      </w:pPr>
      <w:r w:rsidRPr="00DA57FC">
        <w:rPr>
          <w:sz w:val="22"/>
          <w:szCs w:val="22"/>
        </w:rPr>
        <w:t>A procedure to evacuate persons with special needs in the fire and emergency escape plan. Personal Emergency Evacuation Plans for individual service users in place where necessary.</w:t>
      </w:r>
    </w:p>
    <w:p w14:paraId="41AF7B17" w14:textId="77777777" w:rsidR="00EA0D60" w:rsidRPr="00DA57FC" w:rsidRDefault="00EA0D60" w:rsidP="00DA57FC">
      <w:pPr>
        <w:pStyle w:val="ListParagraph"/>
        <w:numPr>
          <w:ilvl w:val="0"/>
          <w:numId w:val="1"/>
        </w:numPr>
        <w:spacing w:after="0" w:line="276" w:lineRule="auto"/>
        <w:ind w:left="340"/>
        <w:rPr>
          <w:sz w:val="22"/>
          <w:szCs w:val="22"/>
        </w:rPr>
      </w:pPr>
      <w:r w:rsidRPr="00DA57FC">
        <w:rPr>
          <w:sz w:val="22"/>
          <w:szCs w:val="22"/>
        </w:rPr>
        <w:t>Evacuation signs/diagrams with required information securely fastened and orientated for the building, noting “securely fastened” requires at a minimum that signs/diagrams are held in place with double sided tape or screwed to the wall</w:t>
      </w:r>
      <w:r w:rsidRPr="00DA57FC">
        <w:rPr>
          <w:sz w:val="22"/>
          <w:szCs w:val="22"/>
          <w:lang w:eastAsia="en-AU"/>
        </w:rPr>
        <w:t>.</w:t>
      </w:r>
    </w:p>
    <w:p w14:paraId="0411FC79" w14:textId="77777777" w:rsidR="00EA0D60" w:rsidRPr="00DA57FC" w:rsidRDefault="00EA0D60" w:rsidP="00DA57FC">
      <w:pPr>
        <w:pStyle w:val="ListParagraph"/>
        <w:numPr>
          <w:ilvl w:val="0"/>
          <w:numId w:val="1"/>
        </w:numPr>
        <w:spacing w:after="0" w:line="276" w:lineRule="auto"/>
        <w:ind w:left="340"/>
        <w:rPr>
          <w:sz w:val="22"/>
          <w:szCs w:val="22"/>
        </w:rPr>
      </w:pPr>
      <w:bookmarkStart w:id="4" w:name="_Hlk72927597"/>
      <w:r w:rsidRPr="00DA57FC">
        <w:rPr>
          <w:sz w:val="22"/>
          <w:szCs w:val="22"/>
        </w:rPr>
        <w:t xml:space="preserve">A Fire Detection and Alarm System in place, as required for the building. An annual Occupier Statement as evidence of maintenance of fire safety equipment. Signatories on an Occupier Statement can be the building owner or occupier or a licensed Fire Safety Advisor. </w:t>
      </w:r>
    </w:p>
    <w:bookmarkEnd w:id="4"/>
    <w:p w14:paraId="410F5CA3" w14:textId="77777777" w:rsidR="00EA0D60" w:rsidRPr="00DA57FC" w:rsidRDefault="00EA0D60" w:rsidP="00DA57FC">
      <w:pPr>
        <w:pStyle w:val="ListParagraph"/>
        <w:numPr>
          <w:ilvl w:val="0"/>
          <w:numId w:val="1"/>
        </w:numPr>
        <w:spacing w:after="0" w:line="276" w:lineRule="auto"/>
        <w:ind w:left="340"/>
        <w:rPr>
          <w:sz w:val="22"/>
          <w:szCs w:val="22"/>
        </w:rPr>
      </w:pPr>
      <w:r w:rsidRPr="00DA57FC">
        <w:rPr>
          <w:sz w:val="22"/>
          <w:szCs w:val="22"/>
        </w:rPr>
        <w:t>Records of staff being provided with fire safety instructions and site induction (i.e. general evacuation instructions for their work site and first-response evacuation instruction).</w:t>
      </w:r>
    </w:p>
    <w:p w14:paraId="0561B947" w14:textId="77777777" w:rsidR="00EA0D60" w:rsidRPr="00DA57FC" w:rsidRDefault="00EA0D60" w:rsidP="00DA57FC">
      <w:pPr>
        <w:pStyle w:val="ListParagraph"/>
        <w:numPr>
          <w:ilvl w:val="0"/>
          <w:numId w:val="1"/>
        </w:numPr>
        <w:spacing w:after="0" w:line="276" w:lineRule="auto"/>
        <w:ind w:left="340"/>
        <w:rPr>
          <w:sz w:val="22"/>
          <w:szCs w:val="22"/>
        </w:rPr>
      </w:pPr>
      <w:r w:rsidRPr="00DA57FC">
        <w:rPr>
          <w:sz w:val="22"/>
          <w:szCs w:val="22"/>
        </w:rPr>
        <w:t>Records of regular opportunities for staff and service users to practice evacuation, at least every 12 months.</w:t>
      </w:r>
    </w:p>
    <w:p w14:paraId="110D8707" w14:textId="77777777" w:rsidR="00EA0D60" w:rsidRPr="00DA57FC" w:rsidRDefault="00EA0D60" w:rsidP="00DA57FC">
      <w:pPr>
        <w:pStyle w:val="ListParagraph"/>
        <w:numPr>
          <w:ilvl w:val="0"/>
          <w:numId w:val="1"/>
        </w:numPr>
        <w:spacing w:after="0" w:line="276" w:lineRule="auto"/>
        <w:ind w:left="340" w:hanging="357"/>
        <w:rPr>
          <w:sz w:val="22"/>
          <w:szCs w:val="22"/>
        </w:rPr>
      </w:pPr>
      <w:r w:rsidRPr="00DA57FC">
        <w:rPr>
          <w:sz w:val="22"/>
          <w:szCs w:val="22"/>
        </w:rPr>
        <w:lastRenderedPageBreak/>
        <w:t>Site assessment indicates fire safety equipment is installed and maintained. Fire exit doors are easily opened and evacuation routes are clear of obstructions. Housekeeping is acceptable (no excessive flammable materials under buildings or stairways and no tripping hazards such as lifting tiles and power cords in evacuation routes).</w:t>
      </w:r>
      <w:bookmarkEnd w:id="3"/>
      <w:r w:rsidRPr="00DA57FC">
        <w:rPr>
          <w:sz w:val="22"/>
          <w:szCs w:val="22"/>
        </w:rPr>
        <w:br/>
      </w:r>
    </w:p>
    <w:p w14:paraId="4F01CDCA" w14:textId="77777777" w:rsidR="00EA0D60" w:rsidRPr="00DA57FC" w:rsidRDefault="00EA0D60" w:rsidP="00DA57FC">
      <w:pPr>
        <w:spacing w:after="0" w:line="276" w:lineRule="auto"/>
        <w:rPr>
          <w:sz w:val="22"/>
          <w:szCs w:val="22"/>
          <w:u w:val="single"/>
        </w:rPr>
      </w:pPr>
      <w:r w:rsidRPr="00DA57FC">
        <w:rPr>
          <w:sz w:val="22"/>
          <w:szCs w:val="22"/>
          <w:u w:val="single"/>
        </w:rPr>
        <w:t xml:space="preserve">Care environment </w:t>
      </w:r>
    </w:p>
    <w:p w14:paraId="1340ABB5" w14:textId="77777777" w:rsidR="00EA0D60" w:rsidRPr="00DA57FC" w:rsidRDefault="00EA0D60" w:rsidP="00DA57FC">
      <w:pPr>
        <w:spacing w:after="0" w:line="276" w:lineRule="auto"/>
        <w:rPr>
          <w:sz w:val="22"/>
          <w:szCs w:val="22"/>
        </w:rPr>
      </w:pPr>
      <w:r w:rsidRPr="00DA57FC">
        <w:rPr>
          <w:sz w:val="22"/>
          <w:szCs w:val="22"/>
        </w:rPr>
        <w:t>For funded services delivered from a domestic dwelling, residential care environment:</w:t>
      </w:r>
    </w:p>
    <w:p w14:paraId="3307F2C1" w14:textId="77777777" w:rsidR="00EA0D60" w:rsidRPr="00DA57FC" w:rsidRDefault="00EA0D60" w:rsidP="00DA57FC">
      <w:pPr>
        <w:pStyle w:val="ListParagraph"/>
        <w:numPr>
          <w:ilvl w:val="0"/>
          <w:numId w:val="1"/>
        </w:numPr>
        <w:spacing w:after="0" w:line="276" w:lineRule="auto"/>
        <w:rPr>
          <w:sz w:val="22"/>
          <w:szCs w:val="22"/>
        </w:rPr>
      </w:pPr>
      <w:r w:rsidRPr="00DA57FC">
        <w:rPr>
          <w:sz w:val="22"/>
          <w:szCs w:val="22"/>
        </w:rPr>
        <w:t>A written fire and emergency escape plan for each residence.</w:t>
      </w:r>
    </w:p>
    <w:p w14:paraId="52F8B233" w14:textId="77777777" w:rsidR="00EA0D60" w:rsidRPr="00DA57FC" w:rsidRDefault="00EA0D60" w:rsidP="00DA57FC">
      <w:pPr>
        <w:pStyle w:val="ListParagraph"/>
        <w:numPr>
          <w:ilvl w:val="0"/>
          <w:numId w:val="1"/>
        </w:numPr>
        <w:spacing w:after="0" w:line="276" w:lineRule="auto"/>
        <w:rPr>
          <w:sz w:val="22"/>
          <w:szCs w:val="22"/>
        </w:rPr>
      </w:pPr>
      <w:r w:rsidRPr="00DA57FC">
        <w:rPr>
          <w:sz w:val="22"/>
          <w:szCs w:val="22"/>
        </w:rPr>
        <w:t xml:space="preserve">A procedure to evacuate persons with special needs in the fire and emergency escape plan. Personal Emergency Evacuation Plans for individual service users who have special needs due to mobility or intellectual disability etc, where necessary. </w:t>
      </w:r>
    </w:p>
    <w:p w14:paraId="29D9316F" w14:textId="77777777" w:rsidR="00EA0D60" w:rsidRPr="00DA57FC" w:rsidRDefault="00EA0D60" w:rsidP="00DA57FC">
      <w:pPr>
        <w:pStyle w:val="ListParagraph"/>
        <w:numPr>
          <w:ilvl w:val="0"/>
          <w:numId w:val="1"/>
        </w:numPr>
        <w:spacing w:after="0" w:line="276" w:lineRule="auto"/>
        <w:rPr>
          <w:sz w:val="22"/>
          <w:szCs w:val="22"/>
        </w:rPr>
      </w:pPr>
      <w:r w:rsidRPr="00DA57FC">
        <w:rPr>
          <w:sz w:val="22"/>
          <w:szCs w:val="22"/>
        </w:rPr>
        <w:t>Smoke alarms that are regularly tested and cleaned at least once every 12 months. In Queensland, from 1 January 2022, for all dwellings being sold, leased or where an existing lease is being renewed, photoelectric, interconnected smoke alarms must be installed in all bedrooms, in hallways that connect bedrooms with the rest of the dwelling, and on every other level not containing bedrooms.</w:t>
      </w:r>
    </w:p>
    <w:p w14:paraId="0C4A402D" w14:textId="77777777" w:rsidR="00EA0D60" w:rsidRPr="00DA57FC" w:rsidRDefault="00EA0D60" w:rsidP="00DA57FC">
      <w:pPr>
        <w:pStyle w:val="ListParagraph"/>
        <w:numPr>
          <w:ilvl w:val="0"/>
          <w:numId w:val="1"/>
        </w:numPr>
        <w:spacing w:after="0" w:line="276" w:lineRule="auto"/>
        <w:rPr>
          <w:sz w:val="22"/>
          <w:szCs w:val="22"/>
        </w:rPr>
      </w:pPr>
      <w:r w:rsidRPr="00DA57FC">
        <w:rPr>
          <w:sz w:val="22"/>
          <w:szCs w:val="22"/>
        </w:rPr>
        <w:t xml:space="preserve">Fire extinguishers and fire blankets that are regularly maintained. </w:t>
      </w:r>
    </w:p>
    <w:p w14:paraId="178CB174" w14:textId="77777777" w:rsidR="00EA0D60" w:rsidRPr="00DA57FC" w:rsidRDefault="00EA0D60" w:rsidP="00DA57FC">
      <w:pPr>
        <w:pStyle w:val="ListParagraph"/>
        <w:numPr>
          <w:ilvl w:val="0"/>
          <w:numId w:val="1"/>
        </w:numPr>
        <w:spacing w:after="0" w:line="276" w:lineRule="auto"/>
        <w:rPr>
          <w:sz w:val="22"/>
          <w:szCs w:val="22"/>
        </w:rPr>
      </w:pPr>
      <w:r w:rsidRPr="00DA57FC">
        <w:rPr>
          <w:sz w:val="22"/>
          <w:szCs w:val="22"/>
        </w:rPr>
        <w:t>In case of emergency, organisations require evacuation signs/diagrams containing required information to be securely fastened and oriented for the building OR be able to demonstrate other suitable methods to ensure exit and evacuation areas are advised and understood by all clients, staff and visitors.</w:t>
      </w:r>
    </w:p>
    <w:p w14:paraId="0B805DF9" w14:textId="77777777" w:rsidR="00EA0D60" w:rsidRPr="00DA57FC" w:rsidRDefault="00EA0D60" w:rsidP="00DA57FC">
      <w:pPr>
        <w:pStyle w:val="ListParagraph"/>
        <w:numPr>
          <w:ilvl w:val="0"/>
          <w:numId w:val="1"/>
        </w:numPr>
        <w:spacing w:after="0" w:line="276" w:lineRule="auto"/>
        <w:rPr>
          <w:sz w:val="22"/>
          <w:szCs w:val="22"/>
        </w:rPr>
      </w:pPr>
      <w:bookmarkStart w:id="5" w:name="_Hlk72936084"/>
      <w:r w:rsidRPr="00DA57FC">
        <w:rPr>
          <w:sz w:val="22"/>
          <w:szCs w:val="22"/>
        </w:rPr>
        <w:t xml:space="preserve">Records of staff being provided with fire safety instructions </w:t>
      </w:r>
      <w:bookmarkEnd w:id="5"/>
      <w:r w:rsidRPr="00DA57FC">
        <w:rPr>
          <w:sz w:val="22"/>
          <w:szCs w:val="22"/>
        </w:rPr>
        <w:t>and site induction (i.e. general evacuation instructions for their work site and first-response evacuation instruction).</w:t>
      </w:r>
    </w:p>
    <w:p w14:paraId="56A1E116" w14:textId="77777777" w:rsidR="00EA0D60" w:rsidRPr="00DA57FC" w:rsidRDefault="00EA0D60" w:rsidP="00DA57FC">
      <w:pPr>
        <w:pStyle w:val="ListParagraph"/>
        <w:numPr>
          <w:ilvl w:val="0"/>
          <w:numId w:val="1"/>
        </w:numPr>
        <w:spacing w:after="0" w:line="276" w:lineRule="auto"/>
        <w:rPr>
          <w:sz w:val="22"/>
          <w:szCs w:val="22"/>
        </w:rPr>
      </w:pPr>
      <w:r w:rsidRPr="00DA57FC">
        <w:rPr>
          <w:sz w:val="22"/>
          <w:szCs w:val="22"/>
        </w:rPr>
        <w:t>Records of regular opportunities for staff and service users to practice evacuation, at least every 12 months.</w:t>
      </w:r>
    </w:p>
    <w:p w14:paraId="1B44FBB6" w14:textId="77777777" w:rsidR="00EA0D60" w:rsidRPr="00DA57FC" w:rsidRDefault="00EA0D60" w:rsidP="00DA57FC">
      <w:pPr>
        <w:pStyle w:val="ListParagraph"/>
        <w:numPr>
          <w:ilvl w:val="0"/>
          <w:numId w:val="1"/>
        </w:numPr>
        <w:spacing w:after="0" w:line="276" w:lineRule="auto"/>
        <w:rPr>
          <w:sz w:val="22"/>
          <w:szCs w:val="22"/>
        </w:rPr>
      </w:pPr>
      <w:r w:rsidRPr="00DA57FC">
        <w:rPr>
          <w:sz w:val="22"/>
          <w:szCs w:val="22"/>
        </w:rPr>
        <w:t xml:space="preserve">Site assessment indicates </w:t>
      </w:r>
      <w:bookmarkStart w:id="6" w:name="_Hlk72933365"/>
      <w:r w:rsidRPr="00DA57FC">
        <w:rPr>
          <w:sz w:val="22"/>
          <w:szCs w:val="22"/>
        </w:rPr>
        <w:t>fire exit doors are easily opened and escape routes are clear of obstructions.</w:t>
      </w:r>
      <w:bookmarkEnd w:id="6"/>
      <w:r w:rsidRPr="00DA57FC">
        <w:rPr>
          <w:sz w:val="22"/>
          <w:szCs w:val="22"/>
        </w:rPr>
        <w:t xml:space="preserve"> The number of the home is clearly visible, in case the emergency services need to locate the home. Housekeeping is acceptable with regular cleaning and maintenance of appliances such as ovens, clothes dryer lint filters, heaters and gas barbeques. Flammable materials and other hazardous items such as matches, candles and lighters are stored safely. </w:t>
      </w:r>
      <w:r w:rsidRPr="00DA57FC">
        <w:rPr>
          <w:sz w:val="22"/>
          <w:szCs w:val="22"/>
        </w:rPr>
        <w:br/>
      </w:r>
    </w:p>
    <w:p w14:paraId="40792C1D" w14:textId="77777777" w:rsidR="00EA0D60" w:rsidRPr="00DA57FC" w:rsidRDefault="00EA0D60" w:rsidP="00DA57FC">
      <w:pPr>
        <w:spacing w:after="0" w:line="276" w:lineRule="auto"/>
        <w:rPr>
          <w:sz w:val="22"/>
          <w:szCs w:val="22"/>
          <w:u w:val="single"/>
        </w:rPr>
      </w:pPr>
      <w:r w:rsidRPr="00DA57FC">
        <w:rPr>
          <w:sz w:val="22"/>
          <w:szCs w:val="22"/>
          <w:u w:val="single"/>
        </w:rPr>
        <w:t xml:space="preserve">Mobile environment </w:t>
      </w:r>
    </w:p>
    <w:p w14:paraId="039E3AD1" w14:textId="77777777" w:rsidR="00EA0D60" w:rsidRPr="00DA57FC" w:rsidRDefault="00EA0D60" w:rsidP="00DA57FC">
      <w:pPr>
        <w:spacing w:after="0" w:line="276" w:lineRule="auto"/>
        <w:rPr>
          <w:sz w:val="22"/>
          <w:szCs w:val="22"/>
        </w:rPr>
      </w:pPr>
      <w:r w:rsidRPr="00DA57FC">
        <w:rPr>
          <w:sz w:val="22"/>
          <w:szCs w:val="22"/>
        </w:rPr>
        <w:t>For funded services delivered from a mobile environment:</w:t>
      </w:r>
    </w:p>
    <w:p w14:paraId="68431514" w14:textId="77777777" w:rsidR="00EA0D60" w:rsidRPr="00DA57FC" w:rsidRDefault="00EA0D60" w:rsidP="00DA57FC">
      <w:pPr>
        <w:pStyle w:val="ListParagraph"/>
        <w:numPr>
          <w:ilvl w:val="0"/>
          <w:numId w:val="3"/>
        </w:numPr>
        <w:spacing w:after="0" w:line="276" w:lineRule="auto"/>
        <w:rPr>
          <w:sz w:val="22"/>
          <w:szCs w:val="22"/>
        </w:rPr>
      </w:pPr>
      <w:r w:rsidRPr="00DA57FC">
        <w:rPr>
          <w:sz w:val="22"/>
          <w:szCs w:val="22"/>
        </w:rPr>
        <w:t>Activity plans and activity risk assessments consider fire safety where relevant to the activity and location of the mobile service.</w:t>
      </w:r>
    </w:p>
    <w:p w14:paraId="708C8019" w14:textId="77777777" w:rsidR="00EA0D60" w:rsidRPr="00DA57FC" w:rsidRDefault="00EA0D60" w:rsidP="00DA57FC">
      <w:pPr>
        <w:pStyle w:val="ListParagraph"/>
        <w:numPr>
          <w:ilvl w:val="0"/>
          <w:numId w:val="3"/>
        </w:numPr>
        <w:spacing w:after="0" w:line="276" w:lineRule="auto"/>
        <w:rPr>
          <w:sz w:val="22"/>
          <w:szCs w:val="22"/>
        </w:rPr>
      </w:pPr>
      <w:r w:rsidRPr="00DA57FC">
        <w:rPr>
          <w:sz w:val="22"/>
          <w:szCs w:val="22"/>
        </w:rPr>
        <w:t>Vehicles are serviced regularly, as per the manufacturer’s recommendations.</w:t>
      </w:r>
    </w:p>
    <w:p w14:paraId="591B2522" w14:textId="77777777" w:rsidR="00EA0D60" w:rsidRPr="00DA57FC" w:rsidRDefault="00EA0D60" w:rsidP="00DA57FC">
      <w:pPr>
        <w:pStyle w:val="ListParagraph"/>
        <w:numPr>
          <w:ilvl w:val="0"/>
          <w:numId w:val="3"/>
        </w:numPr>
        <w:spacing w:after="0" w:line="276" w:lineRule="auto"/>
        <w:rPr>
          <w:sz w:val="22"/>
          <w:szCs w:val="22"/>
        </w:rPr>
      </w:pPr>
      <w:r w:rsidRPr="00DA57FC">
        <w:rPr>
          <w:sz w:val="22"/>
          <w:szCs w:val="22"/>
        </w:rPr>
        <w:t>Drivers are required to undertake basic checks of vehicles (for example operational lights, condition of tyres) and report defective vehicles.</w:t>
      </w:r>
    </w:p>
    <w:p w14:paraId="016C727B" w14:textId="77777777" w:rsidR="00EA0D60" w:rsidRPr="00DA57FC" w:rsidRDefault="00EA0D60" w:rsidP="00DA57FC">
      <w:pPr>
        <w:pStyle w:val="ListParagraph"/>
        <w:numPr>
          <w:ilvl w:val="0"/>
          <w:numId w:val="3"/>
        </w:numPr>
        <w:spacing w:after="0" w:line="276" w:lineRule="auto"/>
        <w:rPr>
          <w:sz w:val="22"/>
          <w:szCs w:val="22"/>
        </w:rPr>
      </w:pPr>
      <w:r w:rsidRPr="00DA57FC">
        <w:rPr>
          <w:sz w:val="22"/>
          <w:szCs w:val="22"/>
        </w:rPr>
        <w:t xml:space="preserve">Services which provide bus transport ensure drivers have the correct licence for the size of the bus and are fitted with any required equipment, which may include a fire extinguisher, emergency exit signage and escape tools. Exits are not obstructed. </w:t>
      </w:r>
      <w:r w:rsidRPr="00DA57FC">
        <w:rPr>
          <w:sz w:val="22"/>
          <w:szCs w:val="22"/>
        </w:rPr>
        <w:br/>
      </w:r>
    </w:p>
    <w:p w14:paraId="38708617" w14:textId="77777777" w:rsidR="00EA0D60" w:rsidRPr="00DA57FC" w:rsidRDefault="00EA0D60" w:rsidP="00DA57FC">
      <w:pPr>
        <w:spacing w:after="0" w:line="276" w:lineRule="auto"/>
        <w:rPr>
          <w:sz w:val="22"/>
          <w:szCs w:val="22"/>
          <w:u w:val="single"/>
        </w:rPr>
      </w:pPr>
      <w:r w:rsidRPr="00DA57FC">
        <w:rPr>
          <w:sz w:val="22"/>
          <w:szCs w:val="22"/>
          <w:u w:val="single"/>
        </w:rPr>
        <w:t xml:space="preserve">Other environment </w:t>
      </w:r>
    </w:p>
    <w:p w14:paraId="4FD4FD0B" w14:textId="77777777" w:rsidR="00EA0D60" w:rsidRPr="00DA57FC" w:rsidRDefault="00EA0D60" w:rsidP="00DA57FC">
      <w:pPr>
        <w:spacing w:after="0" w:line="276" w:lineRule="auto"/>
        <w:rPr>
          <w:sz w:val="22"/>
          <w:szCs w:val="22"/>
        </w:rPr>
      </w:pPr>
      <w:r w:rsidRPr="00DA57FC">
        <w:rPr>
          <w:sz w:val="22"/>
          <w:szCs w:val="22"/>
        </w:rPr>
        <w:t>For funded services delivered to service users from other environments/ for services delivered to service users in their home:</w:t>
      </w:r>
    </w:p>
    <w:p w14:paraId="38FC6863" w14:textId="77777777" w:rsidR="00EA0D60" w:rsidRPr="00DA57FC" w:rsidRDefault="00EA0D60" w:rsidP="00DA57FC">
      <w:pPr>
        <w:pStyle w:val="ListParagraph"/>
        <w:numPr>
          <w:ilvl w:val="0"/>
          <w:numId w:val="2"/>
        </w:numPr>
        <w:spacing w:after="0" w:line="276" w:lineRule="auto"/>
        <w:rPr>
          <w:sz w:val="22"/>
          <w:szCs w:val="22"/>
        </w:rPr>
      </w:pPr>
      <w:r w:rsidRPr="00DA57FC">
        <w:rPr>
          <w:sz w:val="22"/>
          <w:szCs w:val="22"/>
        </w:rPr>
        <w:lastRenderedPageBreak/>
        <w:t>Policies and procedures for staff who provide home-based services which include identifying and reporting existing and potential fire safety hazards in the care environment and workplace such as inadequate or non-functioning smoke alarms</w:t>
      </w:r>
      <w:r w:rsidRPr="00DA57FC">
        <w:rPr>
          <w:rStyle w:val="FootnoteReference"/>
          <w:rFonts w:cs="Arial"/>
          <w:sz w:val="22"/>
          <w:szCs w:val="22"/>
        </w:rPr>
        <w:footnoteReference w:id="3"/>
      </w:r>
      <w:r w:rsidRPr="00DA57FC">
        <w:rPr>
          <w:sz w:val="22"/>
          <w:szCs w:val="22"/>
        </w:rPr>
        <w:t xml:space="preserve"> and blocked escape routes. </w:t>
      </w:r>
    </w:p>
    <w:p w14:paraId="463D6C31" w14:textId="77777777" w:rsidR="00EA0D60" w:rsidRPr="00DA57FC" w:rsidRDefault="00EA0D60" w:rsidP="00DA57FC">
      <w:pPr>
        <w:pStyle w:val="ListParagraph"/>
        <w:numPr>
          <w:ilvl w:val="0"/>
          <w:numId w:val="2"/>
        </w:numPr>
        <w:spacing w:after="0" w:line="276" w:lineRule="auto"/>
        <w:rPr>
          <w:sz w:val="22"/>
          <w:szCs w:val="22"/>
        </w:rPr>
      </w:pPr>
      <w:r w:rsidRPr="00DA57FC">
        <w:rPr>
          <w:sz w:val="22"/>
          <w:szCs w:val="22"/>
        </w:rPr>
        <w:t xml:space="preserve">Records of initial assessments with service users to determine if their home has a working smoke alarm and safe escape routes. All Queensland homes/units are required to have a smoke alarm. </w:t>
      </w:r>
    </w:p>
    <w:p w14:paraId="3D6C5F8E" w14:textId="77777777" w:rsidR="00EA0D60" w:rsidRPr="00DA57FC" w:rsidRDefault="00EA0D60" w:rsidP="00DA57FC">
      <w:pPr>
        <w:pStyle w:val="ListParagraph"/>
        <w:numPr>
          <w:ilvl w:val="0"/>
          <w:numId w:val="2"/>
        </w:numPr>
        <w:spacing w:after="0" w:line="276" w:lineRule="auto"/>
        <w:rPr>
          <w:sz w:val="22"/>
          <w:szCs w:val="22"/>
        </w:rPr>
      </w:pPr>
      <w:r w:rsidRPr="00DA57FC">
        <w:rPr>
          <w:sz w:val="22"/>
          <w:szCs w:val="22"/>
        </w:rPr>
        <w:t>Where services are to be provided in the home and there is no smoke alarm, the provider works with the service user to organise the installation of a smoke alarm in line with service provision.</w:t>
      </w:r>
    </w:p>
    <w:p w14:paraId="019A9691" w14:textId="77777777" w:rsidR="00EA0D60" w:rsidRPr="00DA57FC" w:rsidRDefault="00EA0D60" w:rsidP="00DA57FC">
      <w:pPr>
        <w:pStyle w:val="ListParagraph"/>
        <w:numPr>
          <w:ilvl w:val="0"/>
          <w:numId w:val="2"/>
        </w:numPr>
        <w:spacing w:after="0" w:line="276" w:lineRule="auto"/>
        <w:rPr>
          <w:sz w:val="22"/>
          <w:szCs w:val="22"/>
        </w:rPr>
      </w:pPr>
      <w:bookmarkStart w:id="7" w:name="_Hlk72941944"/>
      <w:r w:rsidRPr="00DA57FC">
        <w:rPr>
          <w:sz w:val="22"/>
          <w:szCs w:val="22"/>
        </w:rPr>
        <w:t>Records of staff being provided with fire safety instructions.</w:t>
      </w:r>
      <w:bookmarkEnd w:id="7"/>
    </w:p>
    <w:p w14:paraId="3D70BCED" w14:textId="0224E2E7" w:rsidR="00F52933" w:rsidRPr="00DA57FC" w:rsidRDefault="00F52933" w:rsidP="00DA57FC">
      <w:pPr>
        <w:spacing w:after="0" w:line="276" w:lineRule="auto"/>
        <w:rPr>
          <w:sz w:val="22"/>
          <w:szCs w:val="22"/>
        </w:rPr>
      </w:pPr>
    </w:p>
    <w:p w14:paraId="0A11D892" w14:textId="77777777" w:rsidR="00DE283C" w:rsidRPr="00DA57FC" w:rsidRDefault="00DE283C" w:rsidP="00DA57FC">
      <w:pPr>
        <w:spacing w:after="0" w:line="276" w:lineRule="auto"/>
        <w:rPr>
          <w:sz w:val="22"/>
          <w:szCs w:val="22"/>
        </w:rPr>
      </w:pPr>
    </w:p>
    <w:p w14:paraId="59F97FB5" w14:textId="77777777" w:rsidR="00DE283C" w:rsidRPr="00DA57FC" w:rsidRDefault="00DE283C" w:rsidP="00DA57FC">
      <w:pPr>
        <w:spacing w:after="0" w:line="276" w:lineRule="auto"/>
        <w:rPr>
          <w:sz w:val="22"/>
          <w:szCs w:val="22"/>
        </w:rPr>
      </w:pPr>
    </w:p>
    <w:p w14:paraId="006C2337" w14:textId="77777777" w:rsidR="00DE283C" w:rsidRPr="00DA57FC" w:rsidRDefault="00DE283C" w:rsidP="00DA57FC">
      <w:pPr>
        <w:spacing w:after="0" w:line="276" w:lineRule="auto"/>
        <w:rPr>
          <w:sz w:val="22"/>
          <w:szCs w:val="22"/>
        </w:rPr>
      </w:pPr>
    </w:p>
    <w:p w14:paraId="52E59D35" w14:textId="77777777" w:rsidR="00DE283C" w:rsidRPr="00DA57FC" w:rsidRDefault="00DE283C" w:rsidP="00DA57FC">
      <w:pPr>
        <w:spacing w:after="0" w:line="276" w:lineRule="auto"/>
        <w:rPr>
          <w:sz w:val="22"/>
          <w:szCs w:val="22"/>
        </w:rPr>
      </w:pPr>
    </w:p>
    <w:p w14:paraId="44703FB8" w14:textId="77777777" w:rsidR="00DE283C" w:rsidRPr="00DA57FC" w:rsidRDefault="00DE283C" w:rsidP="00DA57FC">
      <w:pPr>
        <w:spacing w:after="0" w:line="276" w:lineRule="auto"/>
        <w:rPr>
          <w:sz w:val="22"/>
          <w:szCs w:val="22"/>
        </w:rPr>
      </w:pPr>
    </w:p>
    <w:p w14:paraId="16B624E7" w14:textId="77777777" w:rsidR="00DE283C" w:rsidRPr="00DA57FC" w:rsidRDefault="00DE283C" w:rsidP="00DA57FC">
      <w:pPr>
        <w:spacing w:after="0" w:line="276" w:lineRule="auto"/>
        <w:rPr>
          <w:sz w:val="22"/>
          <w:szCs w:val="22"/>
        </w:rPr>
      </w:pPr>
    </w:p>
    <w:p w14:paraId="2A86E9C3" w14:textId="77777777" w:rsidR="00DE283C" w:rsidRPr="00DA57FC" w:rsidRDefault="00DE283C" w:rsidP="00DA57FC">
      <w:pPr>
        <w:spacing w:after="0" w:line="276" w:lineRule="auto"/>
        <w:rPr>
          <w:sz w:val="22"/>
          <w:szCs w:val="22"/>
        </w:rPr>
      </w:pPr>
    </w:p>
    <w:p w14:paraId="0D405D2A" w14:textId="77777777" w:rsidR="00DE283C" w:rsidRPr="00DA57FC" w:rsidRDefault="00DE283C" w:rsidP="00DA57FC">
      <w:pPr>
        <w:spacing w:after="0" w:line="276" w:lineRule="auto"/>
        <w:rPr>
          <w:sz w:val="22"/>
          <w:szCs w:val="22"/>
        </w:rPr>
      </w:pPr>
    </w:p>
    <w:p w14:paraId="1381F720" w14:textId="77777777" w:rsidR="00DE283C" w:rsidRPr="00DA57FC" w:rsidRDefault="00DE283C" w:rsidP="00DA57FC">
      <w:pPr>
        <w:spacing w:after="0" w:line="276" w:lineRule="auto"/>
        <w:rPr>
          <w:sz w:val="22"/>
          <w:szCs w:val="22"/>
        </w:rPr>
      </w:pPr>
    </w:p>
    <w:p w14:paraId="179D3E42" w14:textId="77777777" w:rsidR="00DE283C" w:rsidRPr="00DA57FC" w:rsidRDefault="00DE283C" w:rsidP="00DA57FC">
      <w:pPr>
        <w:spacing w:after="0" w:line="276" w:lineRule="auto"/>
        <w:rPr>
          <w:sz w:val="22"/>
          <w:szCs w:val="22"/>
        </w:rPr>
      </w:pPr>
    </w:p>
    <w:p w14:paraId="42A52D49" w14:textId="77777777" w:rsidR="00CF7543" w:rsidRPr="00DA57FC" w:rsidRDefault="00CF7543" w:rsidP="00DA57FC">
      <w:pPr>
        <w:spacing w:after="0" w:line="276" w:lineRule="auto"/>
        <w:rPr>
          <w:sz w:val="22"/>
          <w:szCs w:val="22"/>
        </w:rPr>
      </w:pPr>
    </w:p>
    <w:p w14:paraId="30B715B7" w14:textId="77777777" w:rsidR="00CF7543" w:rsidRPr="00DA57FC" w:rsidRDefault="00CF7543" w:rsidP="00DA57FC">
      <w:pPr>
        <w:spacing w:after="0" w:line="276" w:lineRule="auto"/>
        <w:rPr>
          <w:sz w:val="22"/>
          <w:szCs w:val="22"/>
        </w:rPr>
      </w:pPr>
    </w:p>
    <w:p w14:paraId="554219A0" w14:textId="77777777" w:rsidR="00CF7543" w:rsidRPr="00DA57FC" w:rsidRDefault="00CF7543" w:rsidP="00DA57FC">
      <w:pPr>
        <w:spacing w:after="0" w:line="276" w:lineRule="auto"/>
        <w:rPr>
          <w:sz w:val="22"/>
          <w:szCs w:val="22"/>
        </w:rPr>
      </w:pPr>
    </w:p>
    <w:p w14:paraId="47883ED3" w14:textId="77777777" w:rsidR="00CF7543" w:rsidRPr="00DA57FC" w:rsidRDefault="00CF7543" w:rsidP="00DA57FC">
      <w:pPr>
        <w:spacing w:after="0" w:line="276" w:lineRule="auto"/>
        <w:rPr>
          <w:sz w:val="22"/>
          <w:szCs w:val="22"/>
        </w:rPr>
      </w:pPr>
    </w:p>
    <w:p w14:paraId="3BE1FC85" w14:textId="77777777" w:rsidR="00CF7543" w:rsidRPr="00DA57FC" w:rsidRDefault="00CF7543" w:rsidP="00DA57FC">
      <w:pPr>
        <w:spacing w:after="0" w:line="276" w:lineRule="auto"/>
        <w:rPr>
          <w:sz w:val="22"/>
          <w:szCs w:val="22"/>
        </w:rPr>
      </w:pPr>
    </w:p>
    <w:p w14:paraId="5063171C" w14:textId="77777777" w:rsidR="00CF7543" w:rsidRPr="00DA57FC" w:rsidRDefault="00CF7543" w:rsidP="00DA57FC">
      <w:pPr>
        <w:spacing w:after="0" w:line="276" w:lineRule="auto"/>
        <w:rPr>
          <w:sz w:val="22"/>
          <w:szCs w:val="22"/>
        </w:rPr>
      </w:pPr>
    </w:p>
    <w:p w14:paraId="34DFD868" w14:textId="77777777" w:rsidR="00CF7543" w:rsidRPr="00DA57FC" w:rsidRDefault="00CF7543" w:rsidP="00DA57FC">
      <w:pPr>
        <w:spacing w:after="0" w:line="276" w:lineRule="auto"/>
        <w:rPr>
          <w:sz w:val="22"/>
          <w:szCs w:val="22"/>
        </w:rPr>
      </w:pPr>
    </w:p>
    <w:p w14:paraId="2FCABEE2" w14:textId="77777777" w:rsidR="00DE283C" w:rsidRPr="00DA57FC" w:rsidRDefault="00DE283C" w:rsidP="00DA57FC">
      <w:pPr>
        <w:spacing w:after="0" w:line="276" w:lineRule="auto"/>
        <w:rPr>
          <w:sz w:val="22"/>
          <w:szCs w:val="22"/>
        </w:rPr>
      </w:pPr>
    </w:p>
    <w:p w14:paraId="5F196B9F" w14:textId="77777777" w:rsidR="00DE283C" w:rsidRDefault="00DE283C" w:rsidP="00DA57FC">
      <w:pPr>
        <w:spacing w:after="0" w:line="276" w:lineRule="auto"/>
        <w:rPr>
          <w:sz w:val="22"/>
          <w:szCs w:val="22"/>
        </w:rPr>
      </w:pPr>
    </w:p>
    <w:p w14:paraId="440B4CD8" w14:textId="77777777" w:rsidR="00B42EBC" w:rsidRDefault="00B42EBC" w:rsidP="00DA57FC">
      <w:pPr>
        <w:spacing w:after="0" w:line="276" w:lineRule="auto"/>
        <w:rPr>
          <w:sz w:val="22"/>
          <w:szCs w:val="22"/>
        </w:rPr>
      </w:pPr>
    </w:p>
    <w:p w14:paraId="34E018E1" w14:textId="77777777" w:rsidR="00B42EBC" w:rsidRPr="00DA57FC" w:rsidRDefault="00B42EBC" w:rsidP="00DA57FC">
      <w:pPr>
        <w:spacing w:after="0" w:line="276" w:lineRule="auto"/>
        <w:rPr>
          <w:sz w:val="22"/>
          <w:szCs w:val="22"/>
        </w:rPr>
      </w:pPr>
    </w:p>
    <w:p w14:paraId="2DAE3AE5" w14:textId="77777777" w:rsidR="00DE283C" w:rsidRPr="00DA57FC" w:rsidRDefault="00DE283C" w:rsidP="00DA57FC">
      <w:pPr>
        <w:spacing w:after="0" w:line="276" w:lineRule="auto"/>
        <w:rPr>
          <w:sz w:val="22"/>
          <w:szCs w:val="22"/>
        </w:rPr>
      </w:pPr>
    </w:p>
    <w:p w14:paraId="55CF6DDD" w14:textId="4938BACD" w:rsidR="00DE283C" w:rsidRPr="00B42EBC" w:rsidRDefault="00DE283C" w:rsidP="00DA57FC">
      <w:pPr>
        <w:spacing w:after="0" w:line="276" w:lineRule="auto"/>
        <w:rPr>
          <w:b/>
          <w:bCs/>
          <w:sz w:val="22"/>
          <w:szCs w:val="22"/>
        </w:rPr>
      </w:pPr>
      <w:r w:rsidRPr="00B42EBC">
        <w:rPr>
          <w:b/>
          <w:bCs/>
          <w:sz w:val="22"/>
          <w:szCs w:val="22"/>
        </w:rPr>
        <w:t>Version Control</w:t>
      </w:r>
    </w:p>
    <w:tbl>
      <w:tblPr>
        <w:tblStyle w:val="TableGrid"/>
        <w:tblW w:w="0" w:type="auto"/>
        <w:tblLook w:val="04A0" w:firstRow="1" w:lastRow="0" w:firstColumn="1" w:lastColumn="0" w:noHBand="0" w:noVBand="1"/>
      </w:tblPr>
      <w:tblGrid>
        <w:gridCol w:w="2689"/>
        <w:gridCol w:w="6327"/>
      </w:tblGrid>
      <w:tr w:rsidR="00DE283C" w:rsidRPr="00DA57FC" w14:paraId="38C077A0" w14:textId="77777777" w:rsidTr="008655DE">
        <w:tc>
          <w:tcPr>
            <w:tcW w:w="2689" w:type="dxa"/>
          </w:tcPr>
          <w:p w14:paraId="2EA81C9B" w14:textId="77777777" w:rsidR="00DE283C" w:rsidRPr="009325CB" w:rsidRDefault="00DE283C" w:rsidP="00DA57FC">
            <w:pPr>
              <w:pStyle w:val="Heading1"/>
              <w:spacing w:before="0" w:after="0" w:line="276" w:lineRule="auto"/>
              <w:rPr>
                <w:rFonts w:ascii="Arial" w:hAnsi="Arial" w:cs="Arial"/>
                <w:color w:val="auto"/>
                <w:sz w:val="22"/>
                <w:szCs w:val="22"/>
              </w:rPr>
            </w:pPr>
            <w:r w:rsidRPr="009325CB">
              <w:rPr>
                <w:rFonts w:ascii="Arial" w:hAnsi="Arial" w:cs="Arial"/>
                <w:color w:val="auto"/>
                <w:sz w:val="22"/>
                <w:szCs w:val="22"/>
              </w:rPr>
              <w:t>Document Title</w:t>
            </w:r>
          </w:p>
        </w:tc>
        <w:tc>
          <w:tcPr>
            <w:tcW w:w="6327" w:type="dxa"/>
          </w:tcPr>
          <w:p w14:paraId="025E2999" w14:textId="77777777" w:rsidR="00DE283C" w:rsidRPr="009325CB" w:rsidRDefault="00DE283C" w:rsidP="00DA57FC">
            <w:pPr>
              <w:spacing w:line="276" w:lineRule="auto"/>
              <w:rPr>
                <w:sz w:val="22"/>
                <w:szCs w:val="22"/>
              </w:rPr>
            </w:pPr>
            <w:r w:rsidRPr="009325CB">
              <w:rPr>
                <w:sz w:val="22"/>
                <w:szCs w:val="22"/>
              </w:rPr>
              <w:t>HSQF User Guide – Certification</w:t>
            </w:r>
          </w:p>
          <w:p w14:paraId="716E8A67" w14:textId="77777777" w:rsidR="00DE283C" w:rsidRPr="009325CB" w:rsidRDefault="00DE283C" w:rsidP="00DA57FC">
            <w:pPr>
              <w:spacing w:line="276" w:lineRule="auto"/>
              <w:rPr>
                <w:sz w:val="22"/>
                <w:szCs w:val="22"/>
              </w:rPr>
            </w:pPr>
            <w:r w:rsidRPr="009325CB">
              <w:rPr>
                <w:sz w:val="22"/>
                <w:szCs w:val="22"/>
              </w:rPr>
              <w:t>Appendix A – Safety requirements</w:t>
            </w:r>
          </w:p>
        </w:tc>
      </w:tr>
      <w:tr w:rsidR="00DE283C" w:rsidRPr="00DA57FC" w14:paraId="1207FBAC" w14:textId="77777777" w:rsidTr="008655DE">
        <w:tc>
          <w:tcPr>
            <w:tcW w:w="2689" w:type="dxa"/>
          </w:tcPr>
          <w:p w14:paraId="4AB9F663" w14:textId="77777777" w:rsidR="00DE283C" w:rsidRPr="009325CB" w:rsidRDefault="00DE283C" w:rsidP="00DA57FC">
            <w:pPr>
              <w:pStyle w:val="Heading1"/>
              <w:spacing w:before="0" w:after="0" w:line="276" w:lineRule="auto"/>
              <w:rPr>
                <w:rFonts w:ascii="Arial" w:hAnsi="Arial" w:cs="Arial"/>
                <w:color w:val="auto"/>
                <w:sz w:val="22"/>
                <w:szCs w:val="22"/>
              </w:rPr>
            </w:pPr>
            <w:r w:rsidRPr="009325CB">
              <w:rPr>
                <w:rFonts w:ascii="Arial" w:hAnsi="Arial" w:cs="Arial"/>
                <w:color w:val="auto"/>
                <w:sz w:val="22"/>
                <w:szCs w:val="22"/>
              </w:rPr>
              <w:t>Version Number</w:t>
            </w:r>
          </w:p>
        </w:tc>
        <w:tc>
          <w:tcPr>
            <w:tcW w:w="6327" w:type="dxa"/>
          </w:tcPr>
          <w:p w14:paraId="5B2E15D2" w14:textId="503DCA30" w:rsidR="00DE283C" w:rsidRPr="009325CB" w:rsidRDefault="00DE283C" w:rsidP="00DA57FC">
            <w:pPr>
              <w:spacing w:line="276" w:lineRule="auto"/>
              <w:rPr>
                <w:sz w:val="22"/>
                <w:szCs w:val="22"/>
              </w:rPr>
            </w:pPr>
            <w:r w:rsidRPr="009325CB">
              <w:rPr>
                <w:sz w:val="22"/>
                <w:szCs w:val="22"/>
              </w:rPr>
              <w:t>1.0</w:t>
            </w:r>
          </w:p>
        </w:tc>
      </w:tr>
      <w:tr w:rsidR="00DE283C" w:rsidRPr="00DA57FC" w14:paraId="4E757A5C" w14:textId="77777777" w:rsidTr="008655DE">
        <w:tc>
          <w:tcPr>
            <w:tcW w:w="2689" w:type="dxa"/>
          </w:tcPr>
          <w:p w14:paraId="574EBBEA" w14:textId="77777777" w:rsidR="00DE283C" w:rsidRPr="009325CB" w:rsidRDefault="00DE283C" w:rsidP="00DA57FC">
            <w:pPr>
              <w:pStyle w:val="Heading1"/>
              <w:spacing w:before="0" w:after="0" w:line="276" w:lineRule="auto"/>
              <w:rPr>
                <w:rFonts w:ascii="Arial" w:hAnsi="Arial" w:cs="Arial"/>
                <w:color w:val="auto"/>
                <w:sz w:val="22"/>
                <w:szCs w:val="22"/>
              </w:rPr>
            </w:pPr>
            <w:r w:rsidRPr="009325CB">
              <w:rPr>
                <w:rFonts w:ascii="Arial" w:hAnsi="Arial" w:cs="Arial"/>
                <w:color w:val="auto"/>
                <w:sz w:val="22"/>
                <w:szCs w:val="22"/>
              </w:rPr>
              <w:t>Current version approval date</w:t>
            </w:r>
          </w:p>
        </w:tc>
        <w:tc>
          <w:tcPr>
            <w:tcW w:w="6327" w:type="dxa"/>
          </w:tcPr>
          <w:p w14:paraId="028BF653" w14:textId="454941CF" w:rsidR="00DE283C" w:rsidRPr="009325CB" w:rsidRDefault="00EF6F40" w:rsidP="00DA57FC">
            <w:pPr>
              <w:spacing w:line="276" w:lineRule="auto"/>
              <w:rPr>
                <w:sz w:val="22"/>
                <w:szCs w:val="22"/>
              </w:rPr>
            </w:pPr>
            <w:r>
              <w:rPr>
                <w:sz w:val="22"/>
                <w:szCs w:val="22"/>
              </w:rPr>
              <w:t>7</w:t>
            </w:r>
            <w:r w:rsidR="00802C61">
              <w:rPr>
                <w:sz w:val="22"/>
                <w:szCs w:val="22"/>
              </w:rPr>
              <w:t xml:space="preserve"> July</w:t>
            </w:r>
            <w:r w:rsidR="00DE283C" w:rsidRPr="009325CB">
              <w:rPr>
                <w:sz w:val="22"/>
                <w:szCs w:val="22"/>
              </w:rPr>
              <w:t xml:space="preserve"> 2025</w:t>
            </w:r>
          </w:p>
        </w:tc>
      </w:tr>
      <w:tr w:rsidR="00DE283C" w:rsidRPr="00DA57FC" w14:paraId="52F9A05F" w14:textId="77777777" w:rsidTr="008655DE">
        <w:tc>
          <w:tcPr>
            <w:tcW w:w="2689" w:type="dxa"/>
          </w:tcPr>
          <w:p w14:paraId="0BE3FBB6" w14:textId="77777777" w:rsidR="00DE283C" w:rsidRPr="009325CB" w:rsidRDefault="00DE283C" w:rsidP="00DA57FC">
            <w:pPr>
              <w:pStyle w:val="Heading1"/>
              <w:spacing w:before="0" w:after="0" w:line="276" w:lineRule="auto"/>
              <w:rPr>
                <w:rFonts w:ascii="Arial" w:hAnsi="Arial" w:cs="Arial"/>
                <w:color w:val="auto"/>
                <w:sz w:val="22"/>
                <w:szCs w:val="22"/>
              </w:rPr>
            </w:pPr>
            <w:r w:rsidRPr="009325CB">
              <w:rPr>
                <w:rFonts w:ascii="Arial" w:hAnsi="Arial" w:cs="Arial"/>
                <w:color w:val="auto"/>
                <w:sz w:val="22"/>
                <w:szCs w:val="22"/>
              </w:rPr>
              <w:t>Current version issue date</w:t>
            </w:r>
          </w:p>
        </w:tc>
        <w:tc>
          <w:tcPr>
            <w:tcW w:w="6327" w:type="dxa"/>
          </w:tcPr>
          <w:p w14:paraId="443C28E5" w14:textId="5C8A6EBD" w:rsidR="00DE283C" w:rsidRPr="009325CB" w:rsidRDefault="00EF6F40" w:rsidP="00DA57FC">
            <w:pPr>
              <w:spacing w:line="276" w:lineRule="auto"/>
              <w:rPr>
                <w:sz w:val="22"/>
                <w:szCs w:val="22"/>
              </w:rPr>
            </w:pPr>
            <w:r>
              <w:rPr>
                <w:sz w:val="22"/>
                <w:szCs w:val="22"/>
              </w:rPr>
              <w:t xml:space="preserve">7 </w:t>
            </w:r>
            <w:r w:rsidR="00DE283C" w:rsidRPr="009325CB">
              <w:rPr>
                <w:sz w:val="22"/>
                <w:szCs w:val="22"/>
              </w:rPr>
              <w:t>July 2025</w:t>
            </w:r>
          </w:p>
        </w:tc>
      </w:tr>
      <w:tr w:rsidR="00DE283C" w:rsidRPr="00DA57FC" w14:paraId="4349F845" w14:textId="77777777" w:rsidTr="008655DE">
        <w:tc>
          <w:tcPr>
            <w:tcW w:w="2689" w:type="dxa"/>
          </w:tcPr>
          <w:p w14:paraId="4D8A4BC8" w14:textId="77777777" w:rsidR="00DE283C" w:rsidRPr="009325CB" w:rsidRDefault="00DE283C" w:rsidP="00DA57FC">
            <w:pPr>
              <w:pStyle w:val="Heading1"/>
              <w:spacing w:before="0" w:after="0" w:line="276" w:lineRule="auto"/>
              <w:rPr>
                <w:rFonts w:ascii="Arial" w:hAnsi="Arial" w:cs="Arial"/>
                <w:color w:val="auto"/>
                <w:sz w:val="22"/>
                <w:szCs w:val="22"/>
              </w:rPr>
            </w:pPr>
            <w:r w:rsidRPr="009325CB">
              <w:rPr>
                <w:rFonts w:ascii="Arial" w:hAnsi="Arial" w:cs="Arial"/>
                <w:color w:val="auto"/>
                <w:sz w:val="22"/>
                <w:szCs w:val="22"/>
              </w:rPr>
              <w:t>Revision History</w:t>
            </w:r>
          </w:p>
        </w:tc>
        <w:tc>
          <w:tcPr>
            <w:tcW w:w="6327" w:type="dxa"/>
          </w:tcPr>
          <w:p w14:paraId="4D8A0761" w14:textId="4E1A5737" w:rsidR="00DE283C" w:rsidRPr="009325CB" w:rsidRDefault="00EF6F40" w:rsidP="00DA57FC">
            <w:pPr>
              <w:spacing w:line="276" w:lineRule="auto"/>
              <w:rPr>
                <w:sz w:val="22"/>
                <w:szCs w:val="22"/>
              </w:rPr>
            </w:pPr>
            <w:r>
              <w:rPr>
                <w:sz w:val="22"/>
                <w:szCs w:val="22"/>
              </w:rPr>
              <w:t>7</w:t>
            </w:r>
            <w:r w:rsidR="00DE283C" w:rsidRPr="009325CB">
              <w:rPr>
                <w:sz w:val="22"/>
                <w:szCs w:val="22"/>
              </w:rPr>
              <w:t xml:space="preserve"> July 2025 - Version 1.0 – document </w:t>
            </w:r>
            <w:r>
              <w:rPr>
                <w:sz w:val="22"/>
                <w:szCs w:val="22"/>
              </w:rPr>
              <w:t>approved</w:t>
            </w:r>
          </w:p>
        </w:tc>
      </w:tr>
    </w:tbl>
    <w:p w14:paraId="27096659" w14:textId="77777777" w:rsidR="00DE283C" w:rsidRPr="00DA57FC" w:rsidRDefault="00DE283C" w:rsidP="00B42EBC">
      <w:pPr>
        <w:spacing w:after="0" w:line="276" w:lineRule="auto"/>
        <w:rPr>
          <w:sz w:val="22"/>
          <w:szCs w:val="22"/>
        </w:rPr>
      </w:pPr>
    </w:p>
    <w:sectPr w:rsidR="00DE283C" w:rsidRPr="00DA57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E6834" w14:textId="77777777" w:rsidR="008514C5" w:rsidRDefault="008514C5" w:rsidP="00EA0D60">
      <w:pPr>
        <w:spacing w:after="0" w:line="240" w:lineRule="auto"/>
      </w:pPr>
      <w:r>
        <w:separator/>
      </w:r>
    </w:p>
  </w:endnote>
  <w:endnote w:type="continuationSeparator" w:id="0">
    <w:p w14:paraId="58D78CD3" w14:textId="77777777" w:rsidR="008514C5" w:rsidRDefault="008514C5" w:rsidP="00EA0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A6D8" w14:textId="613AB821" w:rsidR="00A25121" w:rsidRDefault="00A25121" w:rsidP="00A25121">
    <w:pPr>
      <w:pStyle w:val="Footer"/>
      <w:spacing w:before="144" w:after="144"/>
    </w:pPr>
    <w:r w:rsidRPr="00A634E9">
      <w:rPr>
        <w:sz w:val="18"/>
        <w:szCs w:val="18"/>
      </w:rPr>
      <w:t xml:space="preserve">HSQF User Guide - Certification – Appendix </w:t>
    </w:r>
    <w:r>
      <w:rPr>
        <w:sz w:val="18"/>
        <w:szCs w:val="18"/>
      </w:rPr>
      <w:t>A</w:t>
    </w:r>
    <w:r w:rsidRPr="00A634E9">
      <w:rPr>
        <w:sz w:val="18"/>
        <w:szCs w:val="18"/>
      </w:rPr>
      <w:ptab w:relativeTo="margin" w:alignment="center" w:leader="none"/>
    </w:r>
    <w:r w:rsidRPr="00A634E9">
      <w:rPr>
        <w:sz w:val="18"/>
        <w:szCs w:val="18"/>
      </w:rPr>
      <w:t xml:space="preserve">       Version 1.0</w:t>
    </w:r>
    <w:r w:rsidRPr="00A634E9">
      <w:rPr>
        <w:sz w:val="18"/>
        <w:szCs w:val="18"/>
      </w:rPr>
      <w:ptab w:relativeTo="margin" w:alignment="right" w:leader="none"/>
    </w:r>
    <w:r w:rsidRPr="00A634E9">
      <w:rPr>
        <w:sz w:val="18"/>
        <w:szCs w:val="18"/>
      </w:rPr>
      <w:t xml:space="preserve">Page </w:t>
    </w:r>
    <w:r w:rsidRPr="00A634E9">
      <w:rPr>
        <w:sz w:val="18"/>
        <w:szCs w:val="18"/>
      </w:rPr>
      <w:fldChar w:fldCharType="begin"/>
    </w:r>
    <w:r w:rsidRPr="00A634E9">
      <w:rPr>
        <w:sz w:val="18"/>
        <w:szCs w:val="18"/>
      </w:rPr>
      <w:instrText xml:space="preserve"> PAGE   \* MERGEFORMAT </w:instrText>
    </w:r>
    <w:r w:rsidRPr="00A634E9">
      <w:rPr>
        <w:sz w:val="18"/>
        <w:szCs w:val="18"/>
      </w:rPr>
      <w:fldChar w:fldCharType="separate"/>
    </w:r>
    <w:r>
      <w:rPr>
        <w:sz w:val="18"/>
        <w:szCs w:val="18"/>
      </w:rPr>
      <w:t>2</w:t>
    </w:r>
    <w:r w:rsidRPr="00A634E9">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A21C" w14:textId="77777777" w:rsidR="008514C5" w:rsidRDefault="008514C5" w:rsidP="00EA0D60">
      <w:pPr>
        <w:spacing w:after="0" w:line="240" w:lineRule="auto"/>
      </w:pPr>
      <w:r>
        <w:separator/>
      </w:r>
    </w:p>
  </w:footnote>
  <w:footnote w:type="continuationSeparator" w:id="0">
    <w:p w14:paraId="1E74003B" w14:textId="77777777" w:rsidR="008514C5" w:rsidRDefault="008514C5" w:rsidP="00EA0D60">
      <w:pPr>
        <w:spacing w:after="0" w:line="240" w:lineRule="auto"/>
      </w:pPr>
      <w:r>
        <w:continuationSeparator/>
      </w:r>
    </w:p>
  </w:footnote>
  <w:footnote w:id="1">
    <w:p w14:paraId="611499AF" w14:textId="3CA856AE" w:rsidR="00EA0D60" w:rsidRPr="000860D0" w:rsidRDefault="00EA0D60" w:rsidP="00EA0D60">
      <w:pPr>
        <w:pStyle w:val="FootnoteText"/>
        <w:rPr>
          <w:sz w:val="16"/>
          <w:szCs w:val="16"/>
        </w:rPr>
      </w:pPr>
      <w:r w:rsidRPr="000860D0">
        <w:rPr>
          <w:rStyle w:val="FootnoteReference"/>
          <w:sz w:val="16"/>
          <w:szCs w:val="16"/>
        </w:rPr>
        <w:footnoteRef/>
      </w:r>
      <w:r w:rsidRPr="000860D0">
        <w:rPr>
          <w:sz w:val="16"/>
          <w:szCs w:val="16"/>
        </w:rPr>
        <w:t xml:space="preserve"> Refer to </w:t>
      </w:r>
      <w:r w:rsidR="00413D32">
        <w:rPr>
          <w:sz w:val="16"/>
          <w:szCs w:val="16"/>
        </w:rPr>
        <w:t xml:space="preserve">following section </w:t>
      </w:r>
      <w:r w:rsidRPr="000860D0">
        <w:rPr>
          <w:sz w:val="16"/>
          <w:szCs w:val="16"/>
        </w:rPr>
        <w:t>‘</w:t>
      </w:r>
      <w:r w:rsidR="00413D32" w:rsidRPr="00413D32">
        <w:rPr>
          <w:sz w:val="16"/>
          <w:szCs w:val="16"/>
        </w:rPr>
        <w:t>Fire safety – minimum requirements to be demonstrated’</w:t>
      </w:r>
      <w:r w:rsidRPr="000860D0">
        <w:rPr>
          <w:sz w:val="16"/>
          <w:szCs w:val="16"/>
        </w:rPr>
        <w:t xml:space="preserve"> for list of requirements to be audited and reported against at each audit</w:t>
      </w:r>
    </w:p>
  </w:footnote>
  <w:footnote w:id="2">
    <w:p w14:paraId="6E58AFB7" w14:textId="77777777" w:rsidR="00EA0D60" w:rsidRPr="000860D0" w:rsidRDefault="00EA0D60" w:rsidP="00EA0D60">
      <w:pPr>
        <w:spacing w:after="0" w:line="240" w:lineRule="auto"/>
        <w:rPr>
          <w:sz w:val="16"/>
          <w:szCs w:val="16"/>
        </w:rPr>
      </w:pPr>
      <w:r w:rsidRPr="000860D0">
        <w:rPr>
          <w:rStyle w:val="FootnoteReference"/>
          <w:sz w:val="16"/>
          <w:szCs w:val="16"/>
        </w:rPr>
        <w:footnoteRef/>
      </w:r>
      <w:r w:rsidRPr="000860D0">
        <w:rPr>
          <w:sz w:val="16"/>
          <w:szCs w:val="16"/>
        </w:rPr>
        <w:t xml:space="preserve"> For further details refer to:</w:t>
      </w:r>
    </w:p>
    <w:p w14:paraId="5B59FF9B" w14:textId="77777777" w:rsidR="00EA0D60" w:rsidRPr="000860D0" w:rsidRDefault="00EA0D60" w:rsidP="00EA0D60">
      <w:pPr>
        <w:pStyle w:val="FootnoteText"/>
        <w:numPr>
          <w:ilvl w:val="0"/>
          <w:numId w:val="4"/>
        </w:numPr>
        <w:spacing w:after="0" w:line="240" w:lineRule="auto"/>
        <w:rPr>
          <w:i/>
          <w:iCs/>
          <w:sz w:val="16"/>
          <w:szCs w:val="16"/>
          <w:lang w:val="en-US"/>
        </w:rPr>
      </w:pPr>
      <w:r w:rsidRPr="000860D0">
        <w:rPr>
          <w:i/>
          <w:iCs/>
          <w:sz w:val="16"/>
          <w:szCs w:val="16"/>
          <w:lang w:val="en-US"/>
        </w:rPr>
        <w:t>Building Fire Safety Management Tool &amp; Advisory Notes – Queensland Fire and Emergency Services (Effective: 05/2018)</w:t>
      </w:r>
    </w:p>
    <w:p w14:paraId="26AFCE87" w14:textId="6EA59A6A" w:rsidR="00EA0D60" w:rsidRPr="000860D0" w:rsidRDefault="00EA0D60" w:rsidP="00EA0D60">
      <w:pPr>
        <w:pStyle w:val="FootnoteText"/>
        <w:numPr>
          <w:ilvl w:val="0"/>
          <w:numId w:val="4"/>
        </w:numPr>
        <w:spacing w:after="0" w:line="240" w:lineRule="auto"/>
        <w:rPr>
          <w:i/>
          <w:iCs/>
          <w:sz w:val="16"/>
          <w:szCs w:val="16"/>
          <w:lang w:val="en-US"/>
        </w:rPr>
      </w:pPr>
      <w:r w:rsidRPr="000860D0">
        <w:rPr>
          <w:i/>
          <w:iCs/>
          <w:sz w:val="16"/>
          <w:szCs w:val="16"/>
          <w:lang w:val="en-US"/>
        </w:rPr>
        <w:t>Queensland Fire and Emergency Services website</w:t>
      </w:r>
      <w:r w:rsidR="00DA6B83">
        <w:rPr>
          <w:i/>
          <w:iCs/>
          <w:sz w:val="16"/>
          <w:szCs w:val="16"/>
          <w:lang w:val="en-US"/>
        </w:rPr>
        <w:t xml:space="preserve"> </w:t>
      </w:r>
      <w:r w:rsidRPr="00413D32">
        <w:rPr>
          <w:sz w:val="16"/>
          <w:szCs w:val="16"/>
          <w:lang w:val="en-US"/>
        </w:rPr>
        <w:t xml:space="preserve">- </w:t>
      </w:r>
      <w:hyperlink r:id="rId1" w:history="1">
        <w:r w:rsidR="00DA6B83" w:rsidRPr="00413D32">
          <w:rPr>
            <w:rStyle w:val="Hyperlink"/>
            <w:rFonts w:cs="Arial"/>
            <w:i/>
            <w:iCs/>
            <w:sz w:val="16"/>
            <w:szCs w:val="16"/>
          </w:rPr>
          <w:t>www.fire.qld.gov.a</w:t>
        </w:r>
        <w:r w:rsidR="00DA6B83" w:rsidRPr="00413D32">
          <w:rPr>
            <w:rStyle w:val="Hyperlink"/>
            <w:rFonts w:cs="Arial"/>
            <w:sz w:val="16"/>
            <w:szCs w:val="16"/>
          </w:rPr>
          <w:t>u</w:t>
        </w:r>
      </w:hyperlink>
      <w:r w:rsidRPr="000860D0">
        <w:rPr>
          <w:i/>
          <w:iCs/>
          <w:sz w:val="16"/>
          <w:szCs w:val="16"/>
          <w:lang w:val="en-US"/>
        </w:rPr>
        <w:t xml:space="preserve"> </w:t>
      </w:r>
    </w:p>
    <w:p w14:paraId="4192D621" w14:textId="77777777" w:rsidR="00EA0D60" w:rsidRPr="00C3279F" w:rsidRDefault="00EA0D60" w:rsidP="00EA0D60">
      <w:pPr>
        <w:pStyle w:val="FootnoteText"/>
        <w:numPr>
          <w:ilvl w:val="0"/>
          <w:numId w:val="4"/>
        </w:numPr>
        <w:spacing w:after="0" w:line="240" w:lineRule="auto"/>
        <w:rPr>
          <w:sz w:val="14"/>
          <w:szCs w:val="14"/>
        </w:rPr>
      </w:pPr>
      <w:r w:rsidRPr="000860D0">
        <w:rPr>
          <w:i/>
          <w:iCs/>
          <w:sz w:val="16"/>
          <w:szCs w:val="16"/>
          <w:lang w:val="en-US"/>
        </w:rPr>
        <w:t>Managing the Work Environment and Facilities Code of Practice – Workplace Health and Safety Queensland (2021)</w:t>
      </w:r>
    </w:p>
  </w:footnote>
  <w:footnote w:id="3">
    <w:p w14:paraId="392D7599" w14:textId="70994510" w:rsidR="00EA0D60" w:rsidRPr="000860D0" w:rsidRDefault="00EA0D60" w:rsidP="00EA0D60">
      <w:pPr>
        <w:pStyle w:val="FootnoteText"/>
        <w:rPr>
          <w:sz w:val="16"/>
          <w:szCs w:val="16"/>
        </w:rPr>
      </w:pPr>
      <w:r w:rsidRPr="000860D0">
        <w:rPr>
          <w:rStyle w:val="FootnoteReference"/>
          <w:sz w:val="16"/>
          <w:szCs w:val="16"/>
        </w:rPr>
        <w:footnoteRef/>
      </w:r>
      <w:r w:rsidRPr="000860D0">
        <w:rPr>
          <w:sz w:val="16"/>
          <w:szCs w:val="16"/>
        </w:rPr>
        <w:t xml:space="preserve"> Refer to </w:t>
      </w:r>
      <w:hyperlink r:id="rId2" w:history="1">
        <w:r w:rsidR="00DA6B83" w:rsidRPr="00413D32">
          <w:rPr>
            <w:rStyle w:val="Hyperlink"/>
            <w:rFonts w:cs="Arial"/>
            <w:sz w:val="16"/>
            <w:szCs w:val="20"/>
          </w:rPr>
          <w:t>https://www.fire.qld.gov.au/prepare/fire/smoke-alarms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7624"/>
    <w:multiLevelType w:val="hybridMultilevel"/>
    <w:tmpl w:val="4E3CCB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81B22ED"/>
    <w:multiLevelType w:val="hybridMultilevel"/>
    <w:tmpl w:val="1180B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130B57"/>
    <w:multiLevelType w:val="hybridMultilevel"/>
    <w:tmpl w:val="6CD45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2406463"/>
    <w:multiLevelType w:val="hybridMultilevel"/>
    <w:tmpl w:val="0722F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44266975">
    <w:abstractNumId w:val="0"/>
  </w:num>
  <w:num w:numId="2" w16cid:durableId="1631091395">
    <w:abstractNumId w:val="3"/>
  </w:num>
  <w:num w:numId="3" w16cid:durableId="1602301127">
    <w:abstractNumId w:val="2"/>
  </w:num>
  <w:num w:numId="4" w16cid:durableId="55596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60"/>
    <w:rsid w:val="00175791"/>
    <w:rsid w:val="00176F0A"/>
    <w:rsid w:val="001809A0"/>
    <w:rsid w:val="0019179F"/>
    <w:rsid w:val="001C0E56"/>
    <w:rsid w:val="001F01D4"/>
    <w:rsid w:val="001F204E"/>
    <w:rsid w:val="00222B30"/>
    <w:rsid w:val="00261BE5"/>
    <w:rsid w:val="00286CB3"/>
    <w:rsid w:val="002A5643"/>
    <w:rsid w:val="002E4243"/>
    <w:rsid w:val="002E7EAB"/>
    <w:rsid w:val="00303B5C"/>
    <w:rsid w:val="00353279"/>
    <w:rsid w:val="00366072"/>
    <w:rsid w:val="00413D32"/>
    <w:rsid w:val="004C11E2"/>
    <w:rsid w:val="0078373D"/>
    <w:rsid w:val="007F7BB2"/>
    <w:rsid w:val="00802C61"/>
    <w:rsid w:val="00803FC3"/>
    <w:rsid w:val="0082777F"/>
    <w:rsid w:val="008514C5"/>
    <w:rsid w:val="0087690B"/>
    <w:rsid w:val="008F05BD"/>
    <w:rsid w:val="009325CB"/>
    <w:rsid w:val="00987F7E"/>
    <w:rsid w:val="009C20C8"/>
    <w:rsid w:val="00A25121"/>
    <w:rsid w:val="00A715D0"/>
    <w:rsid w:val="00A84C68"/>
    <w:rsid w:val="00B135E0"/>
    <w:rsid w:val="00B42EBC"/>
    <w:rsid w:val="00B61DBB"/>
    <w:rsid w:val="00BB090F"/>
    <w:rsid w:val="00BC368B"/>
    <w:rsid w:val="00CE7180"/>
    <w:rsid w:val="00CF1A0B"/>
    <w:rsid w:val="00CF7543"/>
    <w:rsid w:val="00D07E43"/>
    <w:rsid w:val="00D62743"/>
    <w:rsid w:val="00D74C78"/>
    <w:rsid w:val="00D87B16"/>
    <w:rsid w:val="00DA57FC"/>
    <w:rsid w:val="00DA6B83"/>
    <w:rsid w:val="00DE283C"/>
    <w:rsid w:val="00E05C9A"/>
    <w:rsid w:val="00E57748"/>
    <w:rsid w:val="00EA0D60"/>
    <w:rsid w:val="00EB5350"/>
    <w:rsid w:val="00EF6F40"/>
    <w:rsid w:val="00F25C38"/>
    <w:rsid w:val="00F52933"/>
    <w:rsid w:val="00F61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E018E"/>
  <w15:chartTrackingRefBased/>
  <w15:docId w15:val="{E57D285E-A413-47FB-9D70-6662FB7B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D60"/>
    <w:rPr>
      <w:rFonts w:ascii="Arial" w:hAnsi="Arial" w:cs="Arial"/>
      <w:kern w:val="0"/>
      <w:sz w:val="24"/>
      <w:szCs w:val="24"/>
      <w14:ligatures w14:val="none"/>
    </w:rPr>
  </w:style>
  <w:style w:type="paragraph" w:styleId="Heading1">
    <w:name w:val="heading 1"/>
    <w:basedOn w:val="Normal"/>
    <w:next w:val="Normal"/>
    <w:link w:val="Heading1Char"/>
    <w:qFormat/>
    <w:rsid w:val="00EA0D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D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D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D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D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D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D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D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D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D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D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D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D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D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D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D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D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D60"/>
    <w:rPr>
      <w:rFonts w:eastAsiaTheme="majorEastAsia" w:cstheme="majorBidi"/>
      <w:color w:val="272727" w:themeColor="text1" w:themeTint="D8"/>
    </w:rPr>
  </w:style>
  <w:style w:type="paragraph" w:styleId="Title">
    <w:name w:val="Title"/>
    <w:basedOn w:val="Normal"/>
    <w:next w:val="Normal"/>
    <w:link w:val="TitleChar"/>
    <w:uiPriority w:val="10"/>
    <w:qFormat/>
    <w:rsid w:val="00EA0D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D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D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D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D60"/>
    <w:pPr>
      <w:spacing w:before="160"/>
      <w:jc w:val="center"/>
    </w:pPr>
    <w:rPr>
      <w:i/>
      <w:iCs/>
      <w:color w:val="404040" w:themeColor="text1" w:themeTint="BF"/>
    </w:rPr>
  </w:style>
  <w:style w:type="character" w:customStyle="1" w:styleId="QuoteChar">
    <w:name w:val="Quote Char"/>
    <w:basedOn w:val="DefaultParagraphFont"/>
    <w:link w:val="Quote"/>
    <w:uiPriority w:val="29"/>
    <w:rsid w:val="00EA0D60"/>
    <w:rPr>
      <w:i/>
      <w:iCs/>
      <w:color w:val="404040" w:themeColor="text1" w:themeTint="BF"/>
    </w:rPr>
  </w:style>
  <w:style w:type="paragraph" w:styleId="ListParagraph">
    <w:name w:val="List Paragraph"/>
    <w:aliases w:val="First level bullet point,List Paragraph1,List Paragraph11,Bullet point,List Paragraph Number,Recommendation,Bulleted Para,NFP GP Bulleted List,bullet point list,L,Bullet points,Content descriptions,Bullet Point,List Paragraph2,Dot Point"/>
    <w:basedOn w:val="Normal"/>
    <w:link w:val="ListParagraphChar"/>
    <w:uiPriority w:val="34"/>
    <w:qFormat/>
    <w:rsid w:val="00EA0D60"/>
    <w:pPr>
      <w:ind w:left="720"/>
      <w:contextualSpacing/>
    </w:pPr>
  </w:style>
  <w:style w:type="character" w:styleId="IntenseEmphasis">
    <w:name w:val="Intense Emphasis"/>
    <w:basedOn w:val="DefaultParagraphFont"/>
    <w:uiPriority w:val="21"/>
    <w:qFormat/>
    <w:rsid w:val="00EA0D60"/>
    <w:rPr>
      <w:i/>
      <w:iCs/>
      <w:color w:val="0F4761" w:themeColor="accent1" w:themeShade="BF"/>
    </w:rPr>
  </w:style>
  <w:style w:type="paragraph" w:styleId="IntenseQuote">
    <w:name w:val="Intense Quote"/>
    <w:basedOn w:val="Normal"/>
    <w:next w:val="Normal"/>
    <w:link w:val="IntenseQuoteChar"/>
    <w:uiPriority w:val="30"/>
    <w:qFormat/>
    <w:rsid w:val="00EA0D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D60"/>
    <w:rPr>
      <w:i/>
      <w:iCs/>
      <w:color w:val="0F4761" w:themeColor="accent1" w:themeShade="BF"/>
    </w:rPr>
  </w:style>
  <w:style w:type="character" w:styleId="IntenseReference">
    <w:name w:val="Intense Reference"/>
    <w:basedOn w:val="DefaultParagraphFont"/>
    <w:uiPriority w:val="32"/>
    <w:qFormat/>
    <w:rsid w:val="00EA0D60"/>
    <w:rPr>
      <w:b/>
      <w:bCs/>
      <w:smallCaps/>
      <w:color w:val="0F4761" w:themeColor="accent1" w:themeShade="BF"/>
      <w:spacing w:val="5"/>
    </w:rPr>
  </w:style>
  <w:style w:type="character" w:styleId="Hyperlink">
    <w:name w:val="Hyperlink"/>
    <w:basedOn w:val="DefaultParagraphFont"/>
    <w:uiPriority w:val="99"/>
    <w:rsid w:val="00EA0D60"/>
    <w:rPr>
      <w:rFonts w:cs="Times New Roman"/>
      <w:color w:val="0000FF"/>
      <w:u w:val="single"/>
    </w:rPr>
  </w:style>
  <w:style w:type="paragraph" w:styleId="FootnoteText">
    <w:name w:val="footnote text"/>
    <w:basedOn w:val="Normal"/>
    <w:link w:val="FootnoteTextChar"/>
    <w:rsid w:val="00EA0D60"/>
    <w:rPr>
      <w:sz w:val="20"/>
    </w:rPr>
  </w:style>
  <w:style w:type="character" w:customStyle="1" w:styleId="FootnoteTextChar">
    <w:name w:val="Footnote Text Char"/>
    <w:basedOn w:val="DefaultParagraphFont"/>
    <w:link w:val="FootnoteText"/>
    <w:rsid w:val="00EA0D60"/>
    <w:rPr>
      <w:rFonts w:ascii="Arial" w:hAnsi="Arial" w:cs="Arial"/>
      <w:kern w:val="0"/>
      <w:sz w:val="20"/>
      <w:szCs w:val="24"/>
      <w14:ligatures w14:val="none"/>
    </w:rPr>
  </w:style>
  <w:style w:type="character" w:styleId="FootnoteReference">
    <w:name w:val="footnote reference"/>
    <w:basedOn w:val="DefaultParagraphFont"/>
    <w:rsid w:val="00EA0D60"/>
    <w:rPr>
      <w:rFonts w:cs="Times New Roman"/>
      <w:vertAlign w:val="superscript"/>
    </w:rPr>
  </w:style>
  <w:style w:type="character" w:customStyle="1" w:styleId="ListParagraphChar">
    <w:name w:val="List Paragraph Char"/>
    <w:aliases w:val="First level bullet point Char,List Paragraph1 Char,List Paragraph11 Char,Bullet point Char,List Paragraph Number Char,Recommendation Char,Bulleted Para Char,NFP GP Bulleted List Char,bullet point list Char,L Char,Bullet points Char"/>
    <w:basedOn w:val="DefaultParagraphFont"/>
    <w:link w:val="ListParagraph"/>
    <w:uiPriority w:val="34"/>
    <w:rsid w:val="00EA0D60"/>
  </w:style>
  <w:style w:type="character" w:styleId="CommentReference">
    <w:name w:val="annotation reference"/>
    <w:basedOn w:val="DefaultParagraphFont"/>
    <w:uiPriority w:val="99"/>
    <w:semiHidden/>
    <w:unhideWhenUsed/>
    <w:rsid w:val="00E57748"/>
    <w:rPr>
      <w:sz w:val="16"/>
      <w:szCs w:val="16"/>
    </w:rPr>
  </w:style>
  <w:style w:type="paragraph" w:styleId="CommentText">
    <w:name w:val="annotation text"/>
    <w:basedOn w:val="Normal"/>
    <w:link w:val="CommentTextChar"/>
    <w:uiPriority w:val="99"/>
    <w:unhideWhenUsed/>
    <w:rsid w:val="00E57748"/>
    <w:pPr>
      <w:spacing w:line="240" w:lineRule="auto"/>
    </w:pPr>
    <w:rPr>
      <w:sz w:val="20"/>
      <w:szCs w:val="20"/>
    </w:rPr>
  </w:style>
  <w:style w:type="character" w:customStyle="1" w:styleId="CommentTextChar">
    <w:name w:val="Comment Text Char"/>
    <w:basedOn w:val="DefaultParagraphFont"/>
    <w:link w:val="CommentText"/>
    <w:uiPriority w:val="99"/>
    <w:rsid w:val="00E57748"/>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57748"/>
    <w:rPr>
      <w:b/>
      <w:bCs/>
    </w:rPr>
  </w:style>
  <w:style w:type="character" w:customStyle="1" w:styleId="CommentSubjectChar">
    <w:name w:val="Comment Subject Char"/>
    <w:basedOn w:val="CommentTextChar"/>
    <w:link w:val="CommentSubject"/>
    <w:uiPriority w:val="99"/>
    <w:semiHidden/>
    <w:rsid w:val="00E57748"/>
    <w:rPr>
      <w:rFonts w:ascii="Arial" w:hAnsi="Arial" w:cs="Arial"/>
      <w:b/>
      <w:bCs/>
      <w:kern w:val="0"/>
      <w:sz w:val="20"/>
      <w:szCs w:val="20"/>
      <w14:ligatures w14:val="none"/>
    </w:rPr>
  </w:style>
  <w:style w:type="table" w:styleId="TableGrid">
    <w:name w:val="Table Grid"/>
    <w:basedOn w:val="TableNormal"/>
    <w:uiPriority w:val="39"/>
    <w:rsid w:val="00E57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7E43"/>
    <w:pPr>
      <w:spacing w:after="0" w:line="240" w:lineRule="auto"/>
    </w:pPr>
    <w:rPr>
      <w:rFonts w:ascii="Arial" w:hAnsi="Arial" w:cs="Arial"/>
      <w:kern w:val="0"/>
      <w:sz w:val="24"/>
      <w:szCs w:val="24"/>
      <w14:ligatures w14:val="none"/>
    </w:rPr>
  </w:style>
  <w:style w:type="character" w:styleId="FollowedHyperlink">
    <w:name w:val="FollowedHyperlink"/>
    <w:basedOn w:val="DefaultParagraphFont"/>
    <w:uiPriority w:val="99"/>
    <w:semiHidden/>
    <w:unhideWhenUsed/>
    <w:rsid w:val="00DA6B83"/>
    <w:rPr>
      <w:color w:val="96607D" w:themeColor="followedHyperlink"/>
      <w:u w:val="single"/>
    </w:rPr>
  </w:style>
  <w:style w:type="paragraph" w:styleId="Header">
    <w:name w:val="header"/>
    <w:basedOn w:val="Normal"/>
    <w:link w:val="HeaderChar"/>
    <w:uiPriority w:val="99"/>
    <w:unhideWhenUsed/>
    <w:rsid w:val="00DA6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B83"/>
    <w:rPr>
      <w:rFonts w:ascii="Arial" w:hAnsi="Arial" w:cs="Arial"/>
      <w:kern w:val="0"/>
      <w:sz w:val="24"/>
      <w:szCs w:val="24"/>
      <w14:ligatures w14:val="none"/>
    </w:rPr>
  </w:style>
  <w:style w:type="paragraph" w:styleId="Footer">
    <w:name w:val="footer"/>
    <w:basedOn w:val="Normal"/>
    <w:link w:val="FooterChar"/>
    <w:uiPriority w:val="99"/>
    <w:unhideWhenUsed/>
    <w:rsid w:val="00DA6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B83"/>
    <w:rPr>
      <w:rFonts w:ascii="Arial" w:hAnsi="Arial" w:cs="Arial"/>
      <w:kern w:val="0"/>
      <w:sz w:val="24"/>
      <w:szCs w:val="24"/>
      <w14:ligatures w14:val="none"/>
    </w:rPr>
  </w:style>
  <w:style w:type="character" w:styleId="UnresolvedMention">
    <w:name w:val="Unresolved Mention"/>
    <w:basedOn w:val="DefaultParagraphFont"/>
    <w:uiPriority w:val="99"/>
    <w:semiHidden/>
    <w:unhideWhenUsed/>
    <w:rsid w:val="00DA6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fire.qld.gov.au"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fire.qld.gov.au/prepare/fire/smoke-alarms" TargetMode="External"/><Relationship Id="rId1" Type="http://schemas.openxmlformats.org/officeDocument/2006/relationships/hyperlink" Target="http://www.fire.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DCCFF56A4822498D0D02BDAB792BEC" ma:contentTypeVersion="16" ma:contentTypeDescription="Create a new document." ma:contentTypeScope="" ma:versionID="2e2f9c18e9fcc0f3bc323ff4791e3d41">
  <xsd:schema xmlns:xsd="http://www.w3.org/2001/XMLSchema" xmlns:xs="http://www.w3.org/2001/XMLSchema" xmlns:p="http://schemas.microsoft.com/office/2006/metadata/properties" xmlns:ns2="ccf37a6d-68fc-44a8-afae-c57b273226f3" xmlns:ns3="e2ba9bf8-9a08-4698-81b1-2c3226de2348" targetNamespace="http://schemas.microsoft.com/office/2006/metadata/properties" ma:root="true" ma:fieldsID="62ca9a0858ef38f2a5f502ca63dd62db" ns2:_="" ns3:_="">
    <xsd:import namespace="ccf37a6d-68fc-44a8-afae-c57b273226f3"/>
    <xsd:import namespace="e2ba9bf8-9a08-4698-81b1-2c3226de23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CurrentStatu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37a6d-68fc-44a8-afae-c57b27322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CurrentStatus" ma:index="22" nillable="true" ma:displayName="Current Status" ma:format="Dropdown" ma:internalName="CurrentStatus">
      <xsd:simpleType>
        <xsd:restriction base="dms:Choice">
          <xsd:enumeration value="With Team for updates"/>
          <xsd:enumeration value="With OED for QA"/>
          <xsd:enumeration value="With ED for Endorsement"/>
          <xsd:enumeration value="Progressed to ODDG for Final Print Folder"/>
          <xsd:enumeration value="Returned for rework by ODG"/>
          <xsd:enumeration value="ED endorsed"/>
          <xsd:enumeration value="No changes made"/>
          <xsd:enumeration value="BRIEF REMOVED"/>
        </xsd:restriction>
      </xsd:simpleType>
    </xsd:element>
    <xsd:element name="Comments" ma:index="23"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ba9bf8-9a08-4698-81b1-2c3226de23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9942ab-8076-40f3-9252-e1a9dc42081a}" ma:internalName="TaxCatchAll" ma:showField="CatchAllData" ma:web="e2ba9bf8-9a08-4698-81b1-2c3226de2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rrentStatus xmlns="ccf37a6d-68fc-44a8-afae-c57b273226f3" xsi:nil="true"/>
    <TaxCatchAll xmlns="e2ba9bf8-9a08-4698-81b1-2c3226de2348" xsi:nil="true"/>
    <lcf76f155ced4ddcb4097134ff3c332f xmlns="ccf37a6d-68fc-44a8-afae-c57b273226f3">
      <Terms xmlns="http://schemas.microsoft.com/office/infopath/2007/PartnerControls"/>
    </lcf76f155ced4ddcb4097134ff3c332f>
    <Comments xmlns="ccf37a6d-68fc-44a8-afae-c57b273226f3" xsi:nil="true"/>
  </documentManagement>
</p:properties>
</file>

<file path=customXml/itemProps1.xml><?xml version="1.0" encoding="utf-8"?>
<ds:datastoreItem xmlns:ds="http://schemas.openxmlformats.org/officeDocument/2006/customXml" ds:itemID="{D9AB83A2-D820-4BB5-9367-5C13B0689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37a6d-68fc-44a8-afae-c57b273226f3"/>
    <ds:schemaRef ds:uri="e2ba9bf8-9a08-4698-81b1-2c3226de2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024EC-6324-4C35-AA9F-ACC68D88DE07}">
  <ds:schemaRefs>
    <ds:schemaRef ds:uri="http://schemas.microsoft.com/sharepoint/v3/contenttype/forms"/>
  </ds:schemaRefs>
</ds:datastoreItem>
</file>

<file path=customXml/itemProps3.xml><?xml version="1.0" encoding="utf-8"?>
<ds:datastoreItem xmlns:ds="http://schemas.openxmlformats.org/officeDocument/2006/customXml" ds:itemID="{6A43BFDF-742B-4EC8-9439-99E6C3A1E054}">
  <ds:schemaRefs>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e2ba9bf8-9a08-4698-81b1-2c3226de2348"/>
    <ds:schemaRef ds:uri="ccf37a6d-68fc-44a8-afae-c57b273226f3"/>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4</Pages>
  <Words>1273</Words>
  <Characters>7466</Characters>
  <Application>Microsoft Office Word</Application>
  <DocSecurity>0</DocSecurity>
  <Lines>182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Safety requirements</dc:title>
  <dc:subject>User Guide - Safety requirements</dc:subject>
  <dc:creator>Queensland Government</dc:creator>
  <cp:keywords>HSQF;Certification;User;Guide;Appendix;A</cp:keywords>
  <dc:description/>
  <cp:lastModifiedBy>Sophie Tory</cp:lastModifiedBy>
  <cp:revision>6</cp:revision>
  <cp:lastPrinted>2025-07-10T06:15:00Z</cp:lastPrinted>
  <dcterms:created xsi:type="dcterms:W3CDTF">2025-07-08T06:05:00Z</dcterms:created>
  <dcterms:modified xsi:type="dcterms:W3CDTF">2025-07-10T06:15:00Z</dcterms:modified>
  <cp:category>Appendix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0x010100B6DCCFF56A4822498D0D02BDAB792BEC</vt:lpwstr>
  </property>
</Properties>
</file>