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058C" w14:textId="77777777" w:rsidR="000D1EA3" w:rsidRPr="000E334D" w:rsidRDefault="000D1EA3" w:rsidP="000D1EA3">
      <w:pPr>
        <w:pStyle w:val="Heading1"/>
        <w:rPr>
          <w:color w:val="000000"/>
        </w:rPr>
      </w:pPr>
      <w:r w:rsidRPr="000E334D">
        <w:rPr>
          <w:color w:val="000000"/>
        </w:rPr>
        <w:t>Child Safety</w:t>
      </w:r>
    </w:p>
    <w:p w14:paraId="349898D0" w14:textId="77777777" w:rsidR="000D1EA3" w:rsidRPr="000E334D" w:rsidRDefault="000D1EA3" w:rsidP="000D1EA3">
      <w:pPr>
        <w:pStyle w:val="Heading1"/>
        <w:rPr>
          <w:szCs w:val="48"/>
        </w:rPr>
      </w:pPr>
      <w:r w:rsidRPr="000E334D">
        <w:rPr>
          <w:szCs w:val="48"/>
        </w:rPr>
        <w:t xml:space="preserve">POLICY </w:t>
      </w:r>
    </w:p>
    <w:p w14:paraId="5D2B2BF1" w14:textId="77777777" w:rsidR="000D1EA3" w:rsidRPr="000E334D" w:rsidRDefault="000D1EA3" w:rsidP="000D1EA3">
      <w:pPr>
        <w:pBdr>
          <w:bottom w:val="single" w:sz="4" w:space="1" w:color="auto"/>
        </w:pBdr>
        <w:rPr>
          <w:sz w:val="12"/>
        </w:rPr>
      </w:pPr>
    </w:p>
    <w:p w14:paraId="5C41A839" w14:textId="77777777" w:rsidR="000D1EA3" w:rsidRPr="000E334D" w:rsidRDefault="000D1EA3" w:rsidP="000D1EA3">
      <w:pPr>
        <w:tabs>
          <w:tab w:val="left" w:pos="2552"/>
        </w:tabs>
        <w:rPr>
          <w:spacing w:val="1"/>
          <w:sz w:val="28"/>
        </w:rPr>
      </w:pPr>
      <w:r w:rsidRPr="000E334D">
        <w:rPr>
          <w:b/>
          <w:sz w:val="28"/>
          <w:szCs w:val="28"/>
        </w:rPr>
        <w:t>Title:</w:t>
      </w:r>
      <w:r w:rsidRPr="000E334D">
        <w:rPr>
          <w:sz w:val="28"/>
          <w:szCs w:val="28"/>
        </w:rPr>
        <w:t xml:space="preserve"> </w:t>
      </w:r>
      <w:r w:rsidRPr="000E334D">
        <w:rPr>
          <w:sz w:val="28"/>
          <w:szCs w:val="28"/>
        </w:rPr>
        <w:tab/>
      </w:r>
      <w:r w:rsidRPr="000E334D">
        <w:rPr>
          <w:sz w:val="28"/>
          <w:szCs w:val="28"/>
        </w:rPr>
        <w:tab/>
      </w:r>
      <w:r w:rsidRPr="000E334D">
        <w:rPr>
          <w:spacing w:val="1"/>
          <w:sz w:val="28"/>
        </w:rPr>
        <w:t>Care</w:t>
      </w:r>
      <w:r w:rsidRPr="000E334D">
        <w:rPr>
          <w:spacing w:val="8"/>
          <w:sz w:val="28"/>
        </w:rPr>
        <w:t xml:space="preserve"> </w:t>
      </w:r>
      <w:r w:rsidRPr="000E334D">
        <w:rPr>
          <w:spacing w:val="1"/>
          <w:sz w:val="28"/>
        </w:rPr>
        <w:t>agreements</w:t>
      </w:r>
    </w:p>
    <w:p w14:paraId="5DDF6D38" w14:textId="13D9BCAC" w:rsidR="000D1EA3" w:rsidRPr="000E334D" w:rsidRDefault="000D1EA3" w:rsidP="000D1EA3">
      <w:pPr>
        <w:tabs>
          <w:tab w:val="left" w:pos="2552"/>
        </w:tabs>
        <w:rPr>
          <w:rFonts w:eastAsia="Arial" w:cs="Arial"/>
          <w:sz w:val="28"/>
          <w:szCs w:val="28"/>
        </w:rPr>
      </w:pPr>
      <w:r w:rsidRPr="000E334D">
        <w:rPr>
          <w:b/>
          <w:sz w:val="28"/>
        </w:rPr>
        <w:t>Policy</w:t>
      </w:r>
      <w:r w:rsidRPr="000E334D">
        <w:rPr>
          <w:b/>
          <w:spacing w:val="-26"/>
          <w:sz w:val="28"/>
        </w:rPr>
        <w:t xml:space="preserve"> </w:t>
      </w:r>
      <w:r w:rsidRPr="000E334D">
        <w:rPr>
          <w:b/>
          <w:spacing w:val="2"/>
          <w:sz w:val="28"/>
        </w:rPr>
        <w:t>No:</w:t>
      </w:r>
      <w:r w:rsidRPr="000E334D">
        <w:rPr>
          <w:spacing w:val="2"/>
          <w:sz w:val="28"/>
        </w:rPr>
        <w:tab/>
      </w:r>
      <w:r w:rsidRPr="000E334D">
        <w:rPr>
          <w:spacing w:val="2"/>
          <w:sz w:val="28"/>
        </w:rPr>
        <w:tab/>
      </w:r>
      <w:r w:rsidRPr="000E334D">
        <w:rPr>
          <w:spacing w:val="1"/>
          <w:sz w:val="28"/>
        </w:rPr>
        <w:t>415-</w:t>
      </w:r>
      <w:r w:rsidR="00464E12">
        <w:rPr>
          <w:spacing w:val="1"/>
          <w:sz w:val="28"/>
        </w:rPr>
        <w:t>7</w:t>
      </w:r>
    </w:p>
    <w:p w14:paraId="5F6DE75E" w14:textId="77777777" w:rsidR="000D1EA3" w:rsidRPr="000E334D" w:rsidRDefault="000D1EA3" w:rsidP="000D1EA3">
      <w:pPr>
        <w:pBdr>
          <w:bottom w:val="single" w:sz="4" w:space="1" w:color="auto"/>
        </w:pBdr>
        <w:rPr>
          <w:sz w:val="12"/>
        </w:rPr>
      </w:pPr>
    </w:p>
    <w:p w14:paraId="1651DBD1" w14:textId="77777777" w:rsidR="000D1EA3" w:rsidRPr="000E334D" w:rsidRDefault="000D1EA3" w:rsidP="000D1EA3">
      <w:pPr>
        <w:rPr>
          <w:b/>
          <w:sz w:val="24"/>
        </w:rPr>
      </w:pPr>
      <w:r w:rsidRPr="000E334D">
        <w:rPr>
          <w:b/>
          <w:sz w:val="24"/>
        </w:rPr>
        <w:t>Policy Statement:</w:t>
      </w:r>
    </w:p>
    <w:p w14:paraId="7B5C65EC" w14:textId="48A2D760" w:rsidR="004D346F" w:rsidRPr="000E334D" w:rsidRDefault="004D346F" w:rsidP="004D346F">
      <w:pPr>
        <w:pStyle w:val="BodyText"/>
        <w:spacing w:after="0"/>
        <w:ind w:right="96"/>
        <w:rPr>
          <w:b w:val="0"/>
          <w:bCs/>
          <w:spacing w:val="-3"/>
        </w:rPr>
      </w:pPr>
      <w:bookmarkStart w:id="0" w:name="_Hlk145412395"/>
      <w:r w:rsidRPr="000E334D">
        <w:rPr>
          <w:b w:val="0"/>
          <w:bCs/>
          <w:spacing w:val="-3"/>
        </w:rPr>
        <w:t>The Department of</w:t>
      </w:r>
      <w:r w:rsidR="00464E12">
        <w:rPr>
          <w:b w:val="0"/>
          <w:bCs/>
          <w:spacing w:val="-3"/>
        </w:rPr>
        <w:t xml:space="preserve"> Families,</w:t>
      </w:r>
      <w:r w:rsidRPr="000E334D">
        <w:rPr>
          <w:b w:val="0"/>
          <w:bCs/>
          <w:spacing w:val="-3"/>
        </w:rPr>
        <w:t xml:space="preserve"> </w:t>
      </w:r>
      <w:r w:rsidR="00464E12" w:rsidRPr="000E334D">
        <w:rPr>
          <w:rFonts w:cs="Arial"/>
          <w:b w:val="0"/>
          <w:bCs/>
          <w:spacing w:val="-2"/>
          <w:szCs w:val="22"/>
        </w:rPr>
        <w:t>Seniors</w:t>
      </w:r>
      <w:r w:rsidR="00464E12">
        <w:rPr>
          <w:rFonts w:cs="Arial"/>
          <w:b w:val="0"/>
          <w:bCs/>
          <w:spacing w:val="-2"/>
          <w:szCs w:val="22"/>
        </w:rPr>
        <w:t>,</w:t>
      </w:r>
      <w:r w:rsidR="00464E12" w:rsidRPr="000E334D">
        <w:rPr>
          <w:rFonts w:cs="Arial"/>
          <w:b w:val="0"/>
          <w:bCs/>
          <w:spacing w:val="-2"/>
          <w:szCs w:val="22"/>
        </w:rPr>
        <w:t xml:space="preserve"> Disability Services</w:t>
      </w:r>
      <w:r w:rsidR="00464E12" w:rsidRPr="000E334D">
        <w:rPr>
          <w:b w:val="0"/>
          <w:bCs/>
          <w:spacing w:val="-3"/>
        </w:rPr>
        <w:t xml:space="preserve"> </w:t>
      </w:r>
      <w:r w:rsidR="00464E12">
        <w:rPr>
          <w:b w:val="0"/>
          <w:bCs/>
          <w:spacing w:val="-3"/>
        </w:rPr>
        <w:t xml:space="preserve">and </w:t>
      </w:r>
      <w:r w:rsidRPr="0035660A">
        <w:rPr>
          <w:rFonts w:cs="Arial"/>
          <w:b w:val="0"/>
          <w:bCs/>
          <w:spacing w:val="-2"/>
          <w:szCs w:val="22"/>
        </w:rPr>
        <w:t>Child</w:t>
      </w:r>
      <w:r w:rsidRPr="000E334D">
        <w:rPr>
          <w:rFonts w:cs="Arial"/>
          <w:b w:val="0"/>
          <w:bCs/>
          <w:spacing w:val="-2"/>
          <w:szCs w:val="22"/>
        </w:rPr>
        <w:t xml:space="preserve"> Safety</w:t>
      </w:r>
      <w:r w:rsidR="00464E12">
        <w:rPr>
          <w:rFonts w:cs="Arial"/>
          <w:b w:val="0"/>
          <w:bCs/>
          <w:spacing w:val="-2"/>
          <w:szCs w:val="22"/>
        </w:rPr>
        <w:t xml:space="preserve"> </w:t>
      </w:r>
      <w:r w:rsidRPr="000E334D">
        <w:rPr>
          <w:b w:val="0"/>
          <w:bCs/>
          <w:spacing w:val="-3"/>
        </w:rPr>
        <w:t>(Child Safety), is committed to taking appropriate action, when necessary, to place a child in care for the purpose of assessing or responding to a child’s safety and protection needs. When this is necessary, consideration will be given to whether, in the first instance, seeking the parents’ consent for a care arrangement is an appropriate option.</w:t>
      </w:r>
    </w:p>
    <w:p w14:paraId="22BF1575" w14:textId="77777777" w:rsidR="004D346F" w:rsidRPr="000E334D" w:rsidRDefault="004D346F" w:rsidP="004D346F">
      <w:pPr>
        <w:pStyle w:val="BodyText"/>
        <w:spacing w:after="0"/>
        <w:rPr>
          <w:b w:val="0"/>
          <w:iCs/>
          <w:szCs w:val="22"/>
        </w:rPr>
      </w:pPr>
    </w:p>
    <w:p w14:paraId="17A6F3C3" w14:textId="2A2D4FB3" w:rsidR="004D346F" w:rsidRPr="000E334D" w:rsidRDefault="004D346F" w:rsidP="004D346F">
      <w:pPr>
        <w:pStyle w:val="BodyText"/>
        <w:spacing w:after="0"/>
        <w:ind w:right="282"/>
        <w:rPr>
          <w:b w:val="0"/>
          <w:bCs/>
          <w:spacing w:val="-3"/>
        </w:rPr>
      </w:pPr>
      <w:r w:rsidRPr="000E334D">
        <w:rPr>
          <w:b w:val="0"/>
          <w:bCs/>
          <w:spacing w:val="-3"/>
        </w:rPr>
        <w:t xml:space="preserve">An assessment care agreement may only occur when a child is subject to an assessment and there is a need to secure the safety of the child outside of the home while the concerns are assessed. The agreement can only occur if the </w:t>
      </w:r>
      <w:r w:rsidR="00111B7C" w:rsidRPr="000E334D">
        <w:rPr>
          <w:b w:val="0"/>
          <w:bCs/>
          <w:spacing w:val="-3"/>
        </w:rPr>
        <w:t>parents’</w:t>
      </w:r>
      <w:r w:rsidRPr="000E334D">
        <w:rPr>
          <w:b w:val="0"/>
          <w:bCs/>
          <w:spacing w:val="-3"/>
        </w:rPr>
        <w:t xml:space="preserve"> consent to the arrangement. An assessment care agreement is for a period of up to 30 days and cannot be extended.  The parents retain all custody and guardianship rights and responsibilities during this time. </w:t>
      </w:r>
      <w:r w:rsidR="0065571C">
        <w:rPr>
          <w:b w:val="0"/>
          <w:bCs/>
          <w:spacing w:val="-3"/>
        </w:rPr>
        <w:t xml:space="preserve"> </w:t>
      </w:r>
      <w:r w:rsidRPr="000E334D">
        <w:rPr>
          <w:b w:val="0"/>
          <w:bCs/>
          <w:spacing w:val="-3"/>
        </w:rPr>
        <w:t>In certain circumstances an assessment care agreement can be entered into with the consent of only one parent, with an obligation to make a reasonable attempt to give the other parent a copy of the agreement and obtain their consent (</w:t>
      </w:r>
      <w:r w:rsidRPr="003126EA">
        <w:rPr>
          <w:b w:val="0"/>
          <w:bCs/>
          <w:i/>
          <w:iCs/>
          <w:spacing w:val="-3"/>
        </w:rPr>
        <w:t>Child Protection Act 1999</w:t>
      </w:r>
      <w:r w:rsidR="00464E12">
        <w:rPr>
          <w:b w:val="0"/>
          <w:bCs/>
          <w:i/>
          <w:iCs/>
          <w:spacing w:val="-3"/>
        </w:rPr>
        <w:t xml:space="preserve"> </w:t>
      </w:r>
      <w:r w:rsidR="00464E12" w:rsidRPr="000E334D">
        <w:rPr>
          <w:b w:val="0"/>
          <w:bCs/>
          <w:spacing w:val="-3"/>
        </w:rPr>
        <w:t>(the Act)</w:t>
      </w:r>
      <w:r w:rsidRPr="000E334D">
        <w:rPr>
          <w:b w:val="0"/>
          <w:bCs/>
          <w:spacing w:val="-3"/>
        </w:rPr>
        <w:t xml:space="preserve">, section 51ZE) </w:t>
      </w:r>
    </w:p>
    <w:p w14:paraId="7AE23389" w14:textId="77777777" w:rsidR="004D346F" w:rsidRPr="000E334D" w:rsidRDefault="004D346F" w:rsidP="004D346F">
      <w:pPr>
        <w:pStyle w:val="BodyText"/>
        <w:spacing w:after="0"/>
        <w:ind w:right="98"/>
        <w:rPr>
          <w:b w:val="0"/>
          <w:bCs/>
          <w:spacing w:val="-3"/>
        </w:rPr>
      </w:pPr>
    </w:p>
    <w:p w14:paraId="52E01BB5" w14:textId="14BFB0E9" w:rsidR="004D346F" w:rsidRPr="000E334D" w:rsidRDefault="004D346F" w:rsidP="004D346F">
      <w:pPr>
        <w:pStyle w:val="BodyText"/>
        <w:spacing w:after="0"/>
        <w:ind w:right="98"/>
        <w:rPr>
          <w:b w:val="0"/>
          <w:bCs/>
          <w:spacing w:val="-3"/>
        </w:rPr>
      </w:pPr>
      <w:r w:rsidRPr="000E334D">
        <w:rPr>
          <w:b w:val="0"/>
          <w:bCs/>
          <w:spacing w:val="-3"/>
        </w:rPr>
        <w:t>A child protection care agreement may only occur when a child has been assessed as being a child in need of protection, is currently subject to ongoing intervention and a short-term care arrangement is required to secure the safety of the child outside of the home while Child Safety continues to work with the parents to address the child protection concerns.</w:t>
      </w:r>
    </w:p>
    <w:bookmarkEnd w:id="0"/>
    <w:p w14:paraId="07143CA8" w14:textId="77777777" w:rsidR="000D1EA3" w:rsidRPr="000E334D" w:rsidRDefault="000D1EA3" w:rsidP="000D1EA3">
      <w:pPr>
        <w:pStyle w:val="BodyText"/>
        <w:spacing w:after="0"/>
        <w:ind w:right="98"/>
        <w:rPr>
          <w:b w:val="0"/>
          <w:bCs/>
          <w:spacing w:val="-3"/>
        </w:rPr>
      </w:pPr>
    </w:p>
    <w:p w14:paraId="2E67A551" w14:textId="5B9E0DFC" w:rsidR="000D1EA3" w:rsidRPr="000E334D" w:rsidRDefault="000D1EA3" w:rsidP="000D1EA3">
      <w:pPr>
        <w:pStyle w:val="BodyText"/>
        <w:spacing w:after="0"/>
        <w:ind w:right="98"/>
        <w:rPr>
          <w:b w:val="0"/>
          <w:bCs/>
          <w:spacing w:val="-3"/>
        </w:rPr>
      </w:pPr>
      <w:r w:rsidRPr="000E334D">
        <w:rPr>
          <w:b w:val="0"/>
          <w:bCs/>
          <w:spacing w:val="-3"/>
        </w:rPr>
        <w:t xml:space="preserve">A child protection care agreement cannot be used if a child is subject to a child protection order granting custody or guardianship to the chief executive or another person, or if there are concerns that the child would be at immediate risk of harm if the agreement was to be ended prematurely by the parents. The agreement can only occur if the parents agree to the arrangement and </w:t>
      </w:r>
      <w:r w:rsidR="00C4562F" w:rsidRPr="000E334D">
        <w:rPr>
          <w:b w:val="0"/>
          <w:bCs/>
          <w:spacing w:val="-3"/>
        </w:rPr>
        <w:t>are able</w:t>
      </w:r>
      <w:r w:rsidRPr="000E334D">
        <w:rPr>
          <w:b w:val="0"/>
          <w:bCs/>
          <w:spacing w:val="-3"/>
        </w:rPr>
        <w:t xml:space="preserve"> and willing to work with Child Safety to meet the child’s safety, belonging and wellbeing needs. For the duration of a child protection care agreement, the chief executive will have custody of the child and the parents retain guardianship rights and responsibilities. The child protection care agreement is for an initial period of 30 days and may be extended for periods of up to 30 days, for up to six months within a 12</w:t>
      </w:r>
      <w:r w:rsidR="00132FF7">
        <w:rPr>
          <w:b w:val="0"/>
          <w:bCs/>
          <w:spacing w:val="-3"/>
        </w:rPr>
        <w:t>-</w:t>
      </w:r>
      <w:r w:rsidRPr="000E334D">
        <w:rPr>
          <w:b w:val="0"/>
          <w:bCs/>
          <w:spacing w:val="-3"/>
        </w:rPr>
        <w:t>month period.</w:t>
      </w:r>
    </w:p>
    <w:p w14:paraId="593DD550" w14:textId="77777777" w:rsidR="000D1EA3" w:rsidRPr="00D52D26" w:rsidRDefault="000D1EA3" w:rsidP="000D1EA3">
      <w:pPr>
        <w:pStyle w:val="BodyText"/>
        <w:spacing w:after="0"/>
        <w:ind w:right="98"/>
        <w:rPr>
          <w:b w:val="0"/>
          <w:bCs/>
          <w:spacing w:val="-3"/>
          <w:szCs w:val="22"/>
        </w:rPr>
      </w:pPr>
    </w:p>
    <w:p w14:paraId="342BFEF9" w14:textId="77777777" w:rsidR="000D1EA3" w:rsidRDefault="000D1EA3" w:rsidP="000D1EA3">
      <w:pPr>
        <w:pStyle w:val="Heading4"/>
        <w:rPr>
          <w:b w:val="0"/>
          <w:bCs/>
          <w:spacing w:val="-3"/>
        </w:rPr>
      </w:pPr>
      <w:r w:rsidRPr="003126EA">
        <w:rPr>
          <w:b w:val="0"/>
          <w:bCs/>
          <w:spacing w:val="-3"/>
          <w:sz w:val="22"/>
          <w:szCs w:val="22"/>
        </w:rPr>
        <w:t>Note: There is no legislative basis to enter into an assessment or child protection care agreement for a child subject to a child protection order granting long-term guardianship to a suitable person</w:t>
      </w:r>
      <w:r w:rsidRPr="000E334D">
        <w:rPr>
          <w:b w:val="0"/>
          <w:bCs/>
          <w:spacing w:val="-3"/>
        </w:rPr>
        <w:t>.</w:t>
      </w:r>
    </w:p>
    <w:p w14:paraId="60A6B067" w14:textId="77777777" w:rsidR="000D1EA3" w:rsidRDefault="000D1EA3" w:rsidP="000D1EA3">
      <w:pPr>
        <w:pStyle w:val="Heading4"/>
        <w:rPr>
          <w:b w:val="0"/>
          <w:bCs/>
          <w:spacing w:val="-3"/>
        </w:rPr>
      </w:pPr>
    </w:p>
    <w:p w14:paraId="615F091B" w14:textId="77777777" w:rsidR="004D346F" w:rsidRPr="000E334D" w:rsidRDefault="004D346F" w:rsidP="003126EA">
      <w:pPr>
        <w:spacing w:after="0"/>
        <w:rPr>
          <w:bCs/>
          <w:spacing w:val="-3"/>
        </w:rPr>
      </w:pPr>
      <w:r w:rsidRPr="000E334D">
        <w:rPr>
          <w:bCs/>
          <w:spacing w:val="-3"/>
        </w:rPr>
        <w:lastRenderedPageBreak/>
        <w:t xml:space="preserve">Child Safety is committed to respecting, protecting and promoting human rights. Under </w:t>
      </w:r>
      <w:r w:rsidRPr="003126EA">
        <w:rPr>
          <w:bCs/>
          <w:i/>
          <w:iCs/>
          <w:spacing w:val="-3"/>
        </w:rPr>
        <w:t xml:space="preserve">the Human Rights Act 2019, </w:t>
      </w:r>
      <w:r w:rsidRPr="000E334D">
        <w:rPr>
          <w:bCs/>
          <w:spacing w:val="-3"/>
        </w:rPr>
        <w:t>Child Safety has an obligation to act and make decisions in relation to the use of care agreements in a way that is compatible with human rights, and to give proper consideration to human rights.</w:t>
      </w:r>
    </w:p>
    <w:p w14:paraId="15ED3D75" w14:textId="77777777" w:rsidR="004D346F" w:rsidRPr="000E334D" w:rsidRDefault="004D346F" w:rsidP="004D346F">
      <w:pPr>
        <w:pStyle w:val="BodyText"/>
        <w:spacing w:after="0"/>
        <w:ind w:right="98"/>
        <w:rPr>
          <w:b w:val="0"/>
          <w:bCs/>
          <w:spacing w:val="-3"/>
        </w:rPr>
      </w:pPr>
    </w:p>
    <w:p w14:paraId="495B7384" w14:textId="77777777" w:rsidR="004D346F" w:rsidRPr="000E334D" w:rsidRDefault="004D346F" w:rsidP="004D346F">
      <w:pPr>
        <w:pStyle w:val="BodyText"/>
        <w:spacing w:after="0"/>
        <w:ind w:right="98"/>
        <w:rPr>
          <w:b w:val="0"/>
          <w:bCs/>
          <w:spacing w:val="-3"/>
        </w:rPr>
      </w:pPr>
      <w:r w:rsidRPr="000E334D">
        <w:rPr>
          <w:b w:val="0"/>
          <w:bCs/>
          <w:spacing w:val="-3"/>
        </w:rPr>
        <w:t>The safe care and connection of Aboriginal and Torres Strait Islander children with family, community, culture and country will be a key consideration when placing children using a care agreement.</w:t>
      </w:r>
    </w:p>
    <w:p w14:paraId="546B69C4" w14:textId="77777777" w:rsidR="004D346F" w:rsidRPr="000E334D" w:rsidRDefault="004D346F" w:rsidP="004D346F">
      <w:pPr>
        <w:pStyle w:val="BodyText"/>
        <w:spacing w:after="160"/>
        <w:ind w:right="431"/>
        <w:rPr>
          <w:rFonts w:cs="Arial"/>
          <w:b w:val="0"/>
          <w:bCs/>
          <w:szCs w:val="22"/>
        </w:rPr>
      </w:pPr>
    </w:p>
    <w:p w14:paraId="37C563BD" w14:textId="77777777" w:rsidR="004D346F" w:rsidRPr="000E334D" w:rsidRDefault="004D346F" w:rsidP="004D346F">
      <w:pPr>
        <w:rPr>
          <w:b/>
          <w:sz w:val="24"/>
        </w:rPr>
      </w:pPr>
      <w:r w:rsidRPr="000E334D">
        <w:rPr>
          <w:b/>
          <w:sz w:val="24"/>
        </w:rPr>
        <w:t>Principles:</w:t>
      </w:r>
    </w:p>
    <w:p w14:paraId="2A9013D7"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The safety, wellbeing and best interests of a child, both through childhood and for the rest of the child’s life, are paramount.</w:t>
      </w:r>
    </w:p>
    <w:p w14:paraId="7455F233"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Actions taken, while in the best interests of the child, must not be unwarranted in the circumstances.</w:t>
      </w:r>
    </w:p>
    <w:p w14:paraId="2039793A"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 xml:space="preserve">Child Safety staff will act and make decisions in a way that is compatible with human rights and obligations under the </w:t>
      </w:r>
      <w:r w:rsidRPr="003126EA">
        <w:rPr>
          <w:b w:val="0"/>
          <w:bCs/>
          <w:i/>
          <w:iCs/>
          <w:spacing w:val="-2"/>
        </w:rPr>
        <w:t>Human Rights Act 2019</w:t>
      </w:r>
      <w:r w:rsidRPr="000E334D">
        <w:rPr>
          <w:b w:val="0"/>
          <w:bCs/>
          <w:spacing w:val="-2"/>
        </w:rPr>
        <w:t>.</w:t>
      </w:r>
    </w:p>
    <w:p w14:paraId="57EC72B9"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The preferred way of ensuring a child’s wellbeing is through the support of the child’s family.</w:t>
      </w:r>
    </w:p>
    <w:p w14:paraId="24F9F614"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Actions taken, while in the best interests of the child, should maintain family relationships and be supportive of individual rights and ethnic, religious and cultural identity and values.</w:t>
      </w:r>
    </w:p>
    <w:p w14:paraId="2462330F" w14:textId="5A6DB8EA" w:rsidR="004D346F" w:rsidRPr="000E334D" w:rsidRDefault="0065571C" w:rsidP="004D346F">
      <w:pPr>
        <w:pStyle w:val="BodyText"/>
        <w:widowControl w:val="0"/>
        <w:numPr>
          <w:ilvl w:val="0"/>
          <w:numId w:val="2"/>
        </w:numPr>
        <w:tabs>
          <w:tab w:val="left" w:pos="474"/>
        </w:tabs>
        <w:spacing w:before="137" w:after="0" w:line="252" w:lineRule="exact"/>
        <w:ind w:left="473" w:right="113" w:hanging="473"/>
        <w:rPr>
          <w:b w:val="0"/>
          <w:bCs/>
          <w:spacing w:val="-2"/>
        </w:rPr>
      </w:pPr>
      <w:r>
        <w:rPr>
          <w:b w:val="0"/>
          <w:bCs/>
          <w:spacing w:val="-2"/>
        </w:rPr>
        <w:t>Active efforts will be made to apply t</w:t>
      </w:r>
      <w:r w:rsidR="004D346F" w:rsidRPr="000E334D">
        <w:rPr>
          <w:b w:val="0"/>
          <w:bCs/>
          <w:spacing w:val="-2"/>
        </w:rPr>
        <w:t xml:space="preserve">he five elements of the </w:t>
      </w:r>
      <w:r w:rsidR="00111B7C">
        <w:rPr>
          <w:b w:val="0"/>
          <w:bCs/>
          <w:spacing w:val="-2"/>
        </w:rPr>
        <w:t>Aboriginal and Torres Strait Islander C</w:t>
      </w:r>
      <w:r w:rsidR="004D346F" w:rsidRPr="000E334D">
        <w:rPr>
          <w:b w:val="0"/>
          <w:bCs/>
          <w:spacing w:val="-2"/>
        </w:rPr>
        <w:t xml:space="preserve">hild </w:t>
      </w:r>
      <w:r w:rsidR="00111B7C">
        <w:rPr>
          <w:b w:val="0"/>
          <w:bCs/>
          <w:spacing w:val="-2"/>
        </w:rPr>
        <w:t>P</w:t>
      </w:r>
      <w:r w:rsidR="004D346F" w:rsidRPr="000E334D">
        <w:rPr>
          <w:b w:val="0"/>
          <w:bCs/>
          <w:spacing w:val="-2"/>
        </w:rPr>
        <w:t xml:space="preserve">lacement </w:t>
      </w:r>
      <w:r w:rsidR="00111B7C">
        <w:rPr>
          <w:b w:val="0"/>
          <w:bCs/>
          <w:spacing w:val="-2"/>
        </w:rPr>
        <w:t>P</w:t>
      </w:r>
      <w:r w:rsidR="004D346F" w:rsidRPr="000E334D">
        <w:rPr>
          <w:b w:val="0"/>
          <w:bCs/>
          <w:spacing w:val="-2"/>
        </w:rPr>
        <w:t xml:space="preserve">rinciple (prevention, partnership, placement, participation and connection) </w:t>
      </w:r>
      <w:r w:rsidR="00111B7C">
        <w:rPr>
          <w:b w:val="0"/>
          <w:bCs/>
          <w:spacing w:val="-2"/>
        </w:rPr>
        <w:t>outlined in</w:t>
      </w:r>
      <w:r w:rsidR="00111B7C" w:rsidRPr="000E334D">
        <w:rPr>
          <w:b w:val="0"/>
          <w:bCs/>
          <w:spacing w:val="-2"/>
        </w:rPr>
        <w:t xml:space="preserve"> </w:t>
      </w:r>
      <w:r w:rsidR="004D346F" w:rsidRPr="000E334D">
        <w:rPr>
          <w:b w:val="0"/>
          <w:bCs/>
          <w:spacing w:val="-2"/>
        </w:rPr>
        <w:t>section 5C of the Act, to all processes, decisions and actions taken for an Aboriginal or Torres Strait Islander child.</w:t>
      </w:r>
    </w:p>
    <w:p w14:paraId="664D9F76" w14:textId="77777777" w:rsidR="004D346F" w:rsidRPr="000E334D" w:rsidRDefault="004D346F" w:rsidP="004D346F">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Proper consideration will be given to placing the child with family members or people of significance to the child, with the appropriate approval processes being followed.</w:t>
      </w:r>
    </w:p>
    <w:p w14:paraId="3E3B8CB3" w14:textId="4933C024" w:rsidR="000D1EA3" w:rsidRPr="000E334D" w:rsidRDefault="000D1EA3" w:rsidP="004D346F">
      <w:pPr>
        <w:pStyle w:val="BodyText"/>
        <w:widowControl w:val="0"/>
        <w:tabs>
          <w:tab w:val="left" w:pos="474"/>
        </w:tabs>
        <w:spacing w:before="137" w:after="0" w:line="252" w:lineRule="exact"/>
        <w:ind w:left="473" w:right="113"/>
        <w:rPr>
          <w:b w:val="0"/>
          <w:bCs/>
          <w:spacing w:val="-2"/>
        </w:rPr>
      </w:pPr>
    </w:p>
    <w:p w14:paraId="0D91971B" w14:textId="77777777" w:rsidR="000D1EA3" w:rsidRPr="000E334D" w:rsidRDefault="000D1EA3" w:rsidP="000D1EA3">
      <w:pPr>
        <w:spacing w:after="0"/>
        <w:rPr>
          <w:b/>
          <w:szCs w:val="22"/>
        </w:rPr>
      </w:pPr>
    </w:p>
    <w:p w14:paraId="34420843" w14:textId="77777777" w:rsidR="004D346F" w:rsidRPr="000E334D" w:rsidRDefault="004D346F" w:rsidP="004D346F">
      <w:pPr>
        <w:rPr>
          <w:b/>
          <w:sz w:val="24"/>
        </w:rPr>
      </w:pPr>
      <w:r w:rsidRPr="000E334D">
        <w:rPr>
          <w:b/>
          <w:sz w:val="24"/>
        </w:rPr>
        <w:t>Objectives:</w:t>
      </w:r>
    </w:p>
    <w:p w14:paraId="6443CB34" w14:textId="7E9D0DEE" w:rsidR="004D346F" w:rsidRPr="000E334D" w:rsidRDefault="004D346F" w:rsidP="004D346F">
      <w:pPr>
        <w:pStyle w:val="BodyText"/>
        <w:spacing w:after="0"/>
        <w:ind w:right="198"/>
      </w:pPr>
      <w:r w:rsidRPr="000E334D">
        <w:rPr>
          <w:b w:val="0"/>
          <w:bCs/>
          <w:spacing w:val="-4"/>
        </w:rPr>
        <w:t>This</w:t>
      </w:r>
      <w:r w:rsidRPr="000E334D">
        <w:rPr>
          <w:b w:val="0"/>
          <w:bCs/>
          <w:spacing w:val="15"/>
        </w:rPr>
        <w:t xml:space="preserve"> </w:t>
      </w:r>
      <w:r w:rsidRPr="000E334D">
        <w:rPr>
          <w:b w:val="0"/>
          <w:bCs/>
          <w:spacing w:val="-3"/>
        </w:rPr>
        <w:t>policy</w:t>
      </w:r>
      <w:r w:rsidRPr="000E334D">
        <w:rPr>
          <w:b w:val="0"/>
          <w:bCs/>
          <w:spacing w:val="-1"/>
        </w:rPr>
        <w:t xml:space="preserve"> aims</w:t>
      </w:r>
      <w:r w:rsidRPr="000E334D">
        <w:rPr>
          <w:b w:val="0"/>
          <w:bCs/>
          <w:spacing w:val="-2"/>
        </w:rPr>
        <w:t xml:space="preserve"> to</w:t>
      </w:r>
      <w:r w:rsidRPr="000E334D">
        <w:rPr>
          <w:b w:val="0"/>
          <w:bCs/>
          <w:spacing w:val="18"/>
        </w:rPr>
        <w:t xml:space="preserve"> </w:t>
      </w:r>
      <w:r w:rsidRPr="000E334D">
        <w:rPr>
          <w:b w:val="0"/>
          <w:bCs/>
          <w:spacing w:val="-5"/>
        </w:rPr>
        <w:t>ensure</w:t>
      </w:r>
      <w:r w:rsidRPr="000E334D">
        <w:rPr>
          <w:b w:val="0"/>
          <w:bCs/>
          <w:spacing w:val="18"/>
        </w:rPr>
        <w:t xml:space="preserve"> </w:t>
      </w:r>
      <w:r w:rsidRPr="000E334D">
        <w:rPr>
          <w:b w:val="0"/>
          <w:bCs/>
          <w:spacing w:val="-4"/>
        </w:rPr>
        <w:t>that</w:t>
      </w:r>
      <w:r w:rsidRPr="000E334D">
        <w:rPr>
          <w:b w:val="0"/>
          <w:bCs/>
          <w:spacing w:val="4"/>
        </w:rPr>
        <w:t xml:space="preserve"> </w:t>
      </w:r>
      <w:r w:rsidRPr="000E334D">
        <w:rPr>
          <w:b w:val="0"/>
          <w:bCs/>
          <w:spacing w:val="-3"/>
        </w:rPr>
        <w:t>Child</w:t>
      </w:r>
      <w:r w:rsidRPr="000E334D">
        <w:rPr>
          <w:b w:val="0"/>
          <w:bCs/>
          <w:spacing w:val="18"/>
        </w:rPr>
        <w:t xml:space="preserve"> </w:t>
      </w:r>
      <w:r w:rsidRPr="000E334D">
        <w:rPr>
          <w:b w:val="0"/>
          <w:bCs/>
          <w:spacing w:val="-1"/>
        </w:rPr>
        <w:t>Safety staff</w:t>
      </w:r>
      <w:r w:rsidRPr="000E334D">
        <w:rPr>
          <w:b w:val="0"/>
          <w:bCs/>
          <w:spacing w:val="4"/>
        </w:rPr>
        <w:t xml:space="preserve"> </w:t>
      </w:r>
      <w:r w:rsidRPr="000E334D">
        <w:rPr>
          <w:b w:val="0"/>
          <w:bCs/>
          <w:spacing w:val="-4"/>
        </w:rPr>
        <w:t>that</w:t>
      </w:r>
      <w:r w:rsidRPr="000E334D">
        <w:rPr>
          <w:b w:val="0"/>
          <w:bCs/>
          <w:spacing w:val="4"/>
        </w:rPr>
        <w:t xml:space="preserve"> </w:t>
      </w:r>
      <w:r w:rsidRPr="000E334D">
        <w:rPr>
          <w:b w:val="0"/>
          <w:bCs/>
          <w:spacing w:val="-2"/>
        </w:rPr>
        <w:t>place</w:t>
      </w:r>
      <w:r w:rsidRPr="000E334D">
        <w:rPr>
          <w:b w:val="0"/>
          <w:bCs/>
          <w:spacing w:val="1"/>
        </w:rPr>
        <w:t xml:space="preserve"> </w:t>
      </w:r>
      <w:r w:rsidRPr="000E334D">
        <w:rPr>
          <w:b w:val="0"/>
          <w:bCs/>
        </w:rPr>
        <w:t>a</w:t>
      </w:r>
      <w:r w:rsidRPr="000E334D">
        <w:rPr>
          <w:b w:val="0"/>
          <w:bCs/>
          <w:spacing w:val="1"/>
        </w:rPr>
        <w:t xml:space="preserve"> </w:t>
      </w:r>
      <w:r w:rsidRPr="000E334D">
        <w:rPr>
          <w:b w:val="0"/>
          <w:bCs/>
          <w:spacing w:val="-2"/>
        </w:rPr>
        <w:t>child</w:t>
      </w:r>
      <w:r w:rsidRPr="000E334D">
        <w:rPr>
          <w:b w:val="0"/>
          <w:bCs/>
        </w:rPr>
        <w:t xml:space="preserve"> </w:t>
      </w:r>
      <w:r w:rsidRPr="000E334D">
        <w:rPr>
          <w:b w:val="0"/>
          <w:bCs/>
          <w:spacing w:val="-3"/>
        </w:rPr>
        <w:t>in</w:t>
      </w:r>
      <w:r w:rsidRPr="000E334D">
        <w:rPr>
          <w:b w:val="0"/>
          <w:bCs/>
          <w:spacing w:val="18"/>
        </w:rPr>
        <w:t xml:space="preserve"> </w:t>
      </w:r>
      <w:r w:rsidRPr="000E334D">
        <w:rPr>
          <w:b w:val="0"/>
          <w:bCs/>
        </w:rPr>
        <w:t>care</w:t>
      </w:r>
      <w:r w:rsidRPr="000E334D">
        <w:rPr>
          <w:b w:val="0"/>
          <w:bCs/>
          <w:spacing w:val="1"/>
        </w:rPr>
        <w:t xml:space="preserve"> </w:t>
      </w:r>
      <w:r w:rsidRPr="000E334D">
        <w:rPr>
          <w:b w:val="0"/>
          <w:bCs/>
          <w:spacing w:val="-5"/>
        </w:rPr>
        <w:t>under</w:t>
      </w:r>
      <w:r w:rsidRPr="000E334D">
        <w:rPr>
          <w:b w:val="0"/>
          <w:bCs/>
          <w:spacing w:val="7"/>
        </w:rPr>
        <w:t xml:space="preserve"> </w:t>
      </w:r>
      <w:r w:rsidRPr="000E334D">
        <w:rPr>
          <w:b w:val="0"/>
          <w:bCs/>
          <w:spacing w:val="-3"/>
        </w:rPr>
        <w:t>an</w:t>
      </w:r>
      <w:r w:rsidRPr="000E334D">
        <w:rPr>
          <w:b w:val="0"/>
          <w:bCs/>
          <w:spacing w:val="18"/>
        </w:rPr>
        <w:t xml:space="preserve"> </w:t>
      </w:r>
      <w:r w:rsidRPr="000E334D">
        <w:rPr>
          <w:b w:val="0"/>
          <w:bCs/>
          <w:spacing w:val="-5"/>
        </w:rPr>
        <w:t>assessment</w:t>
      </w:r>
      <w:r w:rsidRPr="000E334D">
        <w:rPr>
          <w:b w:val="0"/>
          <w:bCs/>
          <w:spacing w:val="21"/>
        </w:rPr>
        <w:t xml:space="preserve"> </w:t>
      </w:r>
      <w:r w:rsidRPr="000E334D">
        <w:rPr>
          <w:b w:val="0"/>
          <w:bCs/>
          <w:spacing w:val="-3"/>
        </w:rPr>
        <w:t>or</w:t>
      </w:r>
      <w:r w:rsidRPr="000E334D">
        <w:rPr>
          <w:b w:val="0"/>
          <w:bCs/>
          <w:spacing w:val="43"/>
          <w:w w:val="102"/>
        </w:rPr>
        <w:t xml:space="preserve"> </w:t>
      </w:r>
      <w:r w:rsidRPr="000E334D">
        <w:rPr>
          <w:b w:val="0"/>
          <w:bCs/>
          <w:spacing w:val="-2"/>
        </w:rPr>
        <w:t>child</w:t>
      </w:r>
      <w:r w:rsidRPr="000E334D">
        <w:rPr>
          <w:b w:val="0"/>
          <w:bCs/>
          <w:spacing w:val="3"/>
        </w:rPr>
        <w:t xml:space="preserve"> </w:t>
      </w:r>
      <w:r w:rsidRPr="000E334D">
        <w:rPr>
          <w:b w:val="0"/>
          <w:bCs/>
          <w:spacing w:val="-3"/>
        </w:rPr>
        <w:t>protection</w:t>
      </w:r>
      <w:r w:rsidRPr="000E334D">
        <w:rPr>
          <w:b w:val="0"/>
          <w:bCs/>
          <w:spacing w:val="22"/>
        </w:rPr>
        <w:t xml:space="preserve"> </w:t>
      </w:r>
      <w:r w:rsidRPr="000E334D">
        <w:rPr>
          <w:b w:val="0"/>
          <w:bCs/>
        </w:rPr>
        <w:t>care</w:t>
      </w:r>
      <w:r w:rsidRPr="000E334D">
        <w:rPr>
          <w:b w:val="0"/>
          <w:bCs/>
          <w:spacing w:val="-14"/>
        </w:rPr>
        <w:t xml:space="preserve"> </w:t>
      </w:r>
      <w:r w:rsidRPr="000E334D">
        <w:rPr>
          <w:b w:val="0"/>
          <w:bCs/>
          <w:spacing w:val="-4"/>
        </w:rPr>
        <w:t>agreement</w:t>
      </w:r>
      <w:r w:rsidRPr="000E334D">
        <w:rPr>
          <w:b w:val="0"/>
          <w:bCs/>
          <w:spacing w:val="25"/>
        </w:rPr>
        <w:t xml:space="preserve"> </w:t>
      </w:r>
      <w:r w:rsidRPr="000E334D">
        <w:rPr>
          <w:b w:val="0"/>
          <w:bCs/>
          <w:spacing w:val="-1"/>
        </w:rPr>
        <w:t>take</w:t>
      </w:r>
      <w:r w:rsidRPr="000E334D">
        <w:rPr>
          <w:b w:val="0"/>
          <w:bCs/>
          <w:spacing w:val="-14"/>
        </w:rPr>
        <w:t xml:space="preserve"> </w:t>
      </w:r>
      <w:r w:rsidRPr="000E334D">
        <w:rPr>
          <w:b w:val="0"/>
          <w:bCs/>
          <w:spacing w:val="-3"/>
        </w:rPr>
        <w:t>actions</w:t>
      </w:r>
      <w:r w:rsidRPr="000E334D">
        <w:rPr>
          <w:b w:val="0"/>
          <w:bCs/>
          <w:spacing w:val="19"/>
        </w:rPr>
        <w:t xml:space="preserve"> </w:t>
      </w:r>
      <w:r w:rsidRPr="000E334D">
        <w:rPr>
          <w:b w:val="0"/>
          <w:bCs/>
          <w:spacing w:val="-4"/>
        </w:rPr>
        <w:t>and</w:t>
      </w:r>
      <w:r w:rsidRPr="000E334D">
        <w:rPr>
          <w:b w:val="0"/>
          <w:bCs/>
          <w:spacing w:val="22"/>
        </w:rPr>
        <w:t xml:space="preserve"> </w:t>
      </w:r>
      <w:r w:rsidRPr="000E334D">
        <w:rPr>
          <w:b w:val="0"/>
          <w:bCs/>
          <w:spacing w:val="1"/>
        </w:rPr>
        <w:t>make</w:t>
      </w:r>
      <w:r w:rsidRPr="000E334D">
        <w:rPr>
          <w:b w:val="0"/>
          <w:bCs/>
          <w:spacing w:val="-14"/>
        </w:rPr>
        <w:t xml:space="preserve"> </w:t>
      </w:r>
      <w:r w:rsidRPr="000E334D">
        <w:rPr>
          <w:b w:val="0"/>
          <w:bCs/>
          <w:spacing w:val="-4"/>
        </w:rPr>
        <w:t>decisions</w:t>
      </w:r>
      <w:r w:rsidRPr="000E334D">
        <w:rPr>
          <w:b w:val="0"/>
          <w:bCs/>
          <w:spacing w:val="19"/>
        </w:rPr>
        <w:t xml:space="preserve"> </w:t>
      </w:r>
      <w:r w:rsidRPr="000E334D">
        <w:rPr>
          <w:b w:val="0"/>
          <w:bCs/>
          <w:spacing w:val="-3"/>
        </w:rPr>
        <w:t>in</w:t>
      </w:r>
      <w:r w:rsidRPr="000E334D">
        <w:rPr>
          <w:b w:val="0"/>
          <w:bCs/>
          <w:spacing w:val="4"/>
        </w:rPr>
        <w:t xml:space="preserve"> </w:t>
      </w:r>
      <w:r w:rsidRPr="000E334D">
        <w:rPr>
          <w:b w:val="0"/>
          <w:bCs/>
          <w:spacing w:val="-1"/>
        </w:rPr>
        <w:t>accordance</w:t>
      </w:r>
      <w:r w:rsidRPr="000E334D">
        <w:rPr>
          <w:b w:val="0"/>
          <w:bCs/>
          <w:spacing w:val="-14"/>
        </w:rPr>
        <w:t xml:space="preserve"> </w:t>
      </w:r>
      <w:r w:rsidRPr="000E334D">
        <w:rPr>
          <w:b w:val="0"/>
          <w:bCs/>
          <w:spacing w:val="-2"/>
        </w:rPr>
        <w:t>with</w:t>
      </w:r>
      <w:r w:rsidRPr="000E334D">
        <w:rPr>
          <w:b w:val="0"/>
          <w:bCs/>
          <w:spacing w:val="3"/>
        </w:rPr>
        <w:t xml:space="preserve"> </w:t>
      </w:r>
      <w:r w:rsidRPr="000E334D">
        <w:rPr>
          <w:b w:val="0"/>
          <w:bCs/>
          <w:spacing w:val="-4"/>
        </w:rPr>
        <w:t>provisions in the Act</w:t>
      </w:r>
      <w:r w:rsidRPr="000E334D">
        <w:t>.</w:t>
      </w:r>
    </w:p>
    <w:p w14:paraId="17D77411" w14:textId="77777777" w:rsidR="004D346F" w:rsidRPr="000E334D" w:rsidRDefault="004D346F" w:rsidP="004D346F">
      <w:pPr>
        <w:spacing w:after="160"/>
        <w:rPr>
          <w:szCs w:val="22"/>
        </w:rPr>
      </w:pPr>
    </w:p>
    <w:p w14:paraId="0856360E" w14:textId="77777777" w:rsidR="000D1EA3" w:rsidRDefault="000D1EA3" w:rsidP="00132FF7">
      <w:pPr>
        <w:pStyle w:val="BodyText"/>
        <w:spacing w:after="0"/>
        <w:rPr>
          <w:sz w:val="24"/>
        </w:rPr>
      </w:pPr>
      <w:r w:rsidRPr="00132FF7">
        <w:rPr>
          <w:sz w:val="24"/>
        </w:rPr>
        <w:t>Scope:</w:t>
      </w:r>
    </w:p>
    <w:p w14:paraId="363DDD1C" w14:textId="77777777" w:rsidR="00C4562F" w:rsidRPr="00132FF7" w:rsidRDefault="00C4562F" w:rsidP="00132FF7">
      <w:pPr>
        <w:pStyle w:val="BodyText"/>
        <w:spacing w:after="0"/>
        <w:rPr>
          <w:b w:val="0"/>
          <w:sz w:val="24"/>
        </w:rPr>
      </w:pPr>
    </w:p>
    <w:p w14:paraId="6E645AD3" w14:textId="77777777" w:rsidR="000D1EA3" w:rsidRDefault="000D1EA3" w:rsidP="00C4562F">
      <w:pPr>
        <w:pStyle w:val="BodyText"/>
        <w:spacing w:after="0"/>
        <w:ind w:right="198"/>
        <w:rPr>
          <w:b w:val="0"/>
          <w:bCs/>
          <w:spacing w:val="3"/>
        </w:rPr>
      </w:pPr>
      <w:r w:rsidRPr="000E334D">
        <w:rPr>
          <w:b w:val="0"/>
          <w:bCs/>
          <w:spacing w:val="3"/>
        </w:rPr>
        <w:t>This policy refers to a child who requires a care arrangement for the purpose of assessing or responding to the child’s safety and protection needs, where the child’s parents consent to the care arrangement and a child protection order granting custody or guardianship to the chief executive is not required.</w:t>
      </w:r>
    </w:p>
    <w:p w14:paraId="5F804DE8" w14:textId="77777777" w:rsidR="00C4562F" w:rsidRPr="000E334D" w:rsidRDefault="00C4562F" w:rsidP="00132FF7">
      <w:pPr>
        <w:pStyle w:val="BodyText"/>
        <w:spacing w:after="0"/>
        <w:ind w:right="198"/>
        <w:rPr>
          <w:b w:val="0"/>
          <w:bCs/>
          <w:spacing w:val="3"/>
        </w:rPr>
      </w:pPr>
    </w:p>
    <w:p w14:paraId="517A05D5" w14:textId="05656DB8" w:rsidR="000D1EA3" w:rsidRPr="00111B7C" w:rsidRDefault="004D346F" w:rsidP="00132FF7">
      <w:pPr>
        <w:pStyle w:val="BodyText"/>
        <w:rPr>
          <w:bCs/>
        </w:rPr>
      </w:pPr>
      <w:r w:rsidRPr="00132FF7">
        <w:rPr>
          <w:b w:val="0"/>
          <w:bCs/>
        </w:rPr>
        <w:t>A</w:t>
      </w:r>
      <w:r w:rsidR="000D1EA3" w:rsidRPr="00132FF7">
        <w:rPr>
          <w:b w:val="0"/>
          <w:bCs/>
        </w:rPr>
        <w:t xml:space="preserve">t any time, Child Safety or the parent can end the care agreement by giving at least two </w:t>
      </w:r>
      <w:r w:rsidR="00C4562F" w:rsidRPr="00C4562F">
        <w:rPr>
          <w:b w:val="0"/>
          <w:bCs/>
        </w:rPr>
        <w:t>day</w:t>
      </w:r>
      <w:r w:rsidR="00CA1A4F">
        <w:rPr>
          <w:b w:val="0"/>
          <w:bCs/>
        </w:rPr>
        <w:t>s</w:t>
      </w:r>
      <w:r w:rsidR="00C4562F" w:rsidRPr="00C4562F">
        <w:rPr>
          <w:b w:val="0"/>
          <w:bCs/>
        </w:rPr>
        <w:t xml:space="preserve"> notice</w:t>
      </w:r>
      <w:r w:rsidR="000D1EA3" w:rsidRPr="00132FF7">
        <w:rPr>
          <w:b w:val="0"/>
          <w:bCs/>
        </w:rPr>
        <w:t>. If this occurs, and it is determined that a child is not safe, or is in need of protection, Child Safety will take appropriate action to ensure the child's safety.</w:t>
      </w:r>
      <w:r w:rsidRPr="00132FF7">
        <w:rPr>
          <w:b w:val="0"/>
          <w:bCs/>
        </w:rPr>
        <w:t xml:space="preserve">  </w:t>
      </w:r>
      <w:r w:rsidR="000D1EA3" w:rsidRPr="00132FF7">
        <w:rPr>
          <w:b w:val="0"/>
          <w:bCs/>
        </w:rPr>
        <w:t>A child subject to a care agreement must be placed with an approved carer.</w:t>
      </w:r>
    </w:p>
    <w:p w14:paraId="0C461C94" w14:textId="77777777" w:rsidR="000D1EA3" w:rsidRDefault="000D1EA3" w:rsidP="000D1EA3">
      <w:pPr>
        <w:pStyle w:val="Heading4"/>
      </w:pPr>
    </w:p>
    <w:p w14:paraId="3851E2BD" w14:textId="77777777" w:rsidR="000D1EA3" w:rsidRPr="000E334D" w:rsidRDefault="000D1EA3" w:rsidP="000D1EA3">
      <w:pPr>
        <w:rPr>
          <w:b/>
          <w:sz w:val="24"/>
        </w:rPr>
      </w:pPr>
      <w:r w:rsidRPr="000E334D">
        <w:rPr>
          <w:b/>
          <w:sz w:val="24"/>
        </w:rPr>
        <w:t>Roles and Responsibilities:</w:t>
      </w:r>
    </w:p>
    <w:p w14:paraId="02DF8AF7" w14:textId="32CE6678" w:rsidR="004D346F" w:rsidRPr="000E334D" w:rsidRDefault="004D346F" w:rsidP="004D346F">
      <w:pPr>
        <w:pStyle w:val="BodyText"/>
        <w:widowControl w:val="0"/>
        <w:numPr>
          <w:ilvl w:val="0"/>
          <w:numId w:val="2"/>
        </w:numPr>
        <w:tabs>
          <w:tab w:val="left" w:pos="462"/>
        </w:tabs>
        <w:spacing w:before="137" w:after="0" w:line="252" w:lineRule="exact"/>
        <w:ind w:left="473" w:right="113" w:hanging="473"/>
        <w:rPr>
          <w:b w:val="0"/>
          <w:bCs/>
          <w:spacing w:val="-2"/>
        </w:rPr>
      </w:pPr>
      <w:r w:rsidRPr="000E334D">
        <w:rPr>
          <w:b w:val="0"/>
          <w:bCs/>
          <w:spacing w:val="-2"/>
        </w:rPr>
        <w:t xml:space="preserve">The roles and responsibilities of Child Safety staff in relation to care agreements are outlined in the Child Safety Practice Manual, </w:t>
      </w:r>
      <w:r w:rsidRPr="003126EA">
        <w:rPr>
          <w:b w:val="0"/>
          <w:bCs/>
          <w:spacing w:val="-2"/>
        </w:rPr>
        <w:t xml:space="preserve">Respond to a </w:t>
      </w:r>
      <w:r w:rsidR="00C4562F" w:rsidRPr="003126EA">
        <w:rPr>
          <w:b w:val="0"/>
          <w:bCs/>
          <w:spacing w:val="-2"/>
        </w:rPr>
        <w:t>notification</w:t>
      </w:r>
      <w:r w:rsidR="00464E12">
        <w:rPr>
          <w:b w:val="0"/>
          <w:bCs/>
          <w:spacing w:val="-2"/>
        </w:rPr>
        <w:t xml:space="preserve"> </w:t>
      </w:r>
      <w:r w:rsidRPr="000E334D">
        <w:rPr>
          <w:b w:val="0"/>
          <w:bCs/>
          <w:spacing w:val="-2"/>
        </w:rPr>
        <w:t>Support a child at home, and associated resources.</w:t>
      </w:r>
    </w:p>
    <w:p w14:paraId="5E010258" w14:textId="77777777" w:rsidR="000D1EA3" w:rsidRPr="000E334D" w:rsidRDefault="000D1EA3" w:rsidP="000D1EA3">
      <w:pPr>
        <w:pStyle w:val="BodyText"/>
        <w:widowControl w:val="0"/>
        <w:numPr>
          <w:ilvl w:val="0"/>
          <w:numId w:val="2"/>
        </w:numPr>
        <w:tabs>
          <w:tab w:val="left" w:pos="474"/>
        </w:tabs>
        <w:spacing w:before="137" w:after="0" w:line="252" w:lineRule="exact"/>
        <w:ind w:left="473" w:right="113" w:hanging="473"/>
        <w:rPr>
          <w:b w:val="0"/>
          <w:bCs/>
          <w:spacing w:val="-2"/>
        </w:rPr>
      </w:pPr>
      <w:r w:rsidRPr="000E334D">
        <w:rPr>
          <w:b w:val="0"/>
          <w:bCs/>
          <w:spacing w:val="-2"/>
        </w:rPr>
        <w:t>Parents retain custody of a child during an assessment care agreement and retain guardianship for both an assessment care agreement and a child protection care agreement.</w:t>
      </w:r>
    </w:p>
    <w:p w14:paraId="67C3E06E" w14:textId="77777777" w:rsidR="000D1EA3" w:rsidRPr="000E334D" w:rsidRDefault="000D1EA3" w:rsidP="000D1EA3">
      <w:pPr>
        <w:tabs>
          <w:tab w:val="left" w:pos="1220"/>
        </w:tabs>
        <w:rPr>
          <w:szCs w:val="22"/>
        </w:rPr>
      </w:pPr>
    </w:p>
    <w:p w14:paraId="6085BC78" w14:textId="77777777" w:rsidR="000D1EA3" w:rsidRPr="000E334D" w:rsidRDefault="000D1EA3" w:rsidP="000D1EA3">
      <w:pPr>
        <w:rPr>
          <w:b/>
          <w:sz w:val="24"/>
        </w:rPr>
      </w:pPr>
      <w:r w:rsidRPr="000E334D">
        <w:rPr>
          <w:b/>
          <w:sz w:val="24"/>
        </w:rPr>
        <w:t>Authority:</w:t>
      </w:r>
    </w:p>
    <w:p w14:paraId="059C1FA3" w14:textId="49C4AE23" w:rsidR="000D1EA3" w:rsidRPr="000E334D" w:rsidRDefault="000D1EA3" w:rsidP="000D1EA3">
      <w:pPr>
        <w:spacing w:before="118"/>
        <w:rPr>
          <w:rFonts w:eastAsia="Arial" w:cs="Arial"/>
        </w:rPr>
      </w:pPr>
      <w:r w:rsidRPr="000E334D">
        <w:rPr>
          <w:i/>
          <w:spacing w:val="-3"/>
        </w:rPr>
        <w:t>Child</w:t>
      </w:r>
      <w:r w:rsidRPr="000E334D">
        <w:rPr>
          <w:i/>
          <w:spacing w:val="15"/>
        </w:rPr>
        <w:t xml:space="preserve"> </w:t>
      </w:r>
      <w:r w:rsidRPr="000E334D">
        <w:rPr>
          <w:i/>
          <w:spacing w:val="-3"/>
        </w:rPr>
        <w:t>Protection</w:t>
      </w:r>
      <w:r w:rsidRPr="000E334D">
        <w:rPr>
          <w:i/>
          <w:spacing w:val="16"/>
        </w:rPr>
        <w:t xml:space="preserve"> </w:t>
      </w:r>
      <w:r w:rsidRPr="000E334D">
        <w:rPr>
          <w:i/>
          <w:spacing w:val="1"/>
        </w:rPr>
        <w:t>Act</w:t>
      </w:r>
      <w:r w:rsidRPr="000E334D">
        <w:rPr>
          <w:i/>
          <w:spacing w:val="3"/>
        </w:rPr>
        <w:t xml:space="preserve"> </w:t>
      </w:r>
      <w:r w:rsidRPr="000E334D">
        <w:rPr>
          <w:i/>
          <w:spacing w:val="-5"/>
        </w:rPr>
        <w:t>1999,</w:t>
      </w:r>
      <w:r w:rsidRPr="000E334D">
        <w:rPr>
          <w:i/>
          <w:spacing w:val="42"/>
        </w:rPr>
        <w:t xml:space="preserve"> </w:t>
      </w:r>
      <w:r w:rsidRPr="000E334D">
        <w:rPr>
          <w:spacing w:val="-4"/>
        </w:rPr>
        <w:t>sections</w:t>
      </w:r>
      <w:r w:rsidRPr="000E334D">
        <w:rPr>
          <w:spacing w:val="13"/>
        </w:rPr>
        <w:t xml:space="preserve"> </w:t>
      </w:r>
      <w:r w:rsidRPr="000E334D">
        <w:rPr>
          <w:spacing w:val="-3"/>
        </w:rPr>
        <w:t>5,</w:t>
      </w:r>
      <w:r w:rsidRPr="000E334D">
        <w:rPr>
          <w:spacing w:val="20"/>
        </w:rPr>
        <w:t xml:space="preserve"> </w:t>
      </w:r>
      <w:r w:rsidRPr="000E334D">
        <w:rPr>
          <w:spacing w:val="-3"/>
        </w:rPr>
        <w:t>6,</w:t>
      </w:r>
      <w:r w:rsidRPr="000E334D">
        <w:rPr>
          <w:spacing w:val="19"/>
        </w:rPr>
        <w:t xml:space="preserve"> </w:t>
      </w:r>
      <w:r w:rsidRPr="000E334D">
        <w:rPr>
          <w:spacing w:val="-3"/>
        </w:rPr>
        <w:t>8,</w:t>
      </w:r>
      <w:r w:rsidRPr="000E334D">
        <w:rPr>
          <w:spacing w:val="19"/>
        </w:rPr>
        <w:t xml:space="preserve"> </w:t>
      </w:r>
      <w:r w:rsidRPr="000E334D">
        <w:rPr>
          <w:spacing w:val="-3"/>
        </w:rPr>
        <w:t>9,</w:t>
      </w:r>
      <w:r w:rsidRPr="000E334D">
        <w:rPr>
          <w:spacing w:val="19"/>
        </w:rPr>
        <w:t xml:space="preserve"> </w:t>
      </w:r>
      <w:r w:rsidRPr="000E334D">
        <w:rPr>
          <w:spacing w:val="-4"/>
        </w:rPr>
        <w:t>10,</w:t>
      </w:r>
      <w:r w:rsidRPr="000E334D">
        <w:rPr>
          <w:spacing w:val="20"/>
        </w:rPr>
        <w:t xml:space="preserve"> </w:t>
      </w:r>
      <w:r w:rsidRPr="000E334D">
        <w:rPr>
          <w:spacing w:val="-4"/>
        </w:rPr>
        <w:t>11,</w:t>
      </w:r>
      <w:r w:rsidRPr="000E334D">
        <w:rPr>
          <w:spacing w:val="36"/>
        </w:rPr>
        <w:t xml:space="preserve"> </w:t>
      </w:r>
      <w:r w:rsidRPr="000E334D">
        <w:rPr>
          <w:spacing w:val="-4"/>
        </w:rPr>
        <w:t>14,</w:t>
      </w:r>
      <w:r w:rsidRPr="000E334D">
        <w:rPr>
          <w:spacing w:val="19"/>
        </w:rPr>
        <w:t xml:space="preserve"> </w:t>
      </w:r>
      <w:r w:rsidRPr="000E334D">
        <w:rPr>
          <w:spacing w:val="-4"/>
        </w:rPr>
        <w:t>51Z</w:t>
      </w:r>
      <w:r w:rsidR="00D52D26">
        <w:rPr>
          <w:spacing w:val="27"/>
        </w:rPr>
        <w:t>-</w:t>
      </w:r>
      <w:r w:rsidRPr="000E334D">
        <w:rPr>
          <w:spacing w:val="-3"/>
        </w:rPr>
        <w:t>51ZI,</w:t>
      </w:r>
      <w:r w:rsidRPr="000E334D">
        <w:rPr>
          <w:spacing w:val="19"/>
        </w:rPr>
        <w:t xml:space="preserve"> </w:t>
      </w:r>
      <w:r w:rsidRPr="000E334D">
        <w:rPr>
          <w:spacing w:val="-4"/>
        </w:rPr>
        <w:t>74,</w:t>
      </w:r>
      <w:r w:rsidRPr="000E334D">
        <w:rPr>
          <w:spacing w:val="20"/>
        </w:rPr>
        <w:t xml:space="preserve"> </w:t>
      </w:r>
      <w:r w:rsidRPr="000E334D">
        <w:rPr>
          <w:spacing w:val="-4"/>
        </w:rPr>
        <w:t>82,</w:t>
      </w:r>
      <w:r w:rsidRPr="000E334D">
        <w:rPr>
          <w:spacing w:val="19"/>
        </w:rPr>
        <w:t xml:space="preserve"> </w:t>
      </w:r>
      <w:r w:rsidRPr="000E334D">
        <w:rPr>
          <w:spacing w:val="-3"/>
        </w:rPr>
        <w:t>82A,</w:t>
      </w:r>
      <w:r w:rsidRPr="000E334D">
        <w:rPr>
          <w:spacing w:val="18"/>
        </w:rPr>
        <w:t xml:space="preserve"> </w:t>
      </w:r>
      <w:r w:rsidRPr="000E334D">
        <w:rPr>
          <w:spacing w:val="-4"/>
        </w:rPr>
        <w:t>83,</w:t>
      </w:r>
      <w:r w:rsidRPr="000E334D">
        <w:rPr>
          <w:spacing w:val="19"/>
        </w:rPr>
        <w:t xml:space="preserve"> </w:t>
      </w:r>
      <w:r w:rsidRPr="000E334D">
        <w:rPr>
          <w:spacing w:val="-3"/>
        </w:rPr>
        <w:t>83A,</w:t>
      </w:r>
      <w:r w:rsidRPr="000E334D">
        <w:rPr>
          <w:spacing w:val="19"/>
        </w:rPr>
        <w:t xml:space="preserve"> </w:t>
      </w:r>
      <w:r w:rsidRPr="000E334D">
        <w:rPr>
          <w:spacing w:val="-4"/>
        </w:rPr>
        <w:t>84,</w:t>
      </w:r>
      <w:r w:rsidRPr="000E334D">
        <w:rPr>
          <w:spacing w:val="19"/>
        </w:rPr>
        <w:t xml:space="preserve"> </w:t>
      </w:r>
      <w:r w:rsidRPr="000E334D">
        <w:rPr>
          <w:spacing w:val="-4"/>
        </w:rPr>
        <w:t>88, 122</w:t>
      </w:r>
    </w:p>
    <w:p w14:paraId="51767419" w14:textId="77777777" w:rsidR="000D1EA3" w:rsidRPr="003126EA" w:rsidRDefault="000D1EA3" w:rsidP="000D1EA3">
      <w:pPr>
        <w:spacing w:before="122"/>
        <w:rPr>
          <w:rFonts w:eastAsia="Arial" w:cs="Arial"/>
          <w:i/>
        </w:rPr>
      </w:pPr>
      <w:r w:rsidRPr="003126EA">
        <w:rPr>
          <w:i/>
          <w:spacing w:val="-3"/>
        </w:rPr>
        <w:t>Child</w:t>
      </w:r>
      <w:r w:rsidRPr="003126EA">
        <w:rPr>
          <w:i/>
          <w:spacing w:val="29"/>
        </w:rPr>
        <w:t xml:space="preserve"> </w:t>
      </w:r>
      <w:r w:rsidRPr="003126EA">
        <w:rPr>
          <w:i/>
          <w:spacing w:val="-3"/>
        </w:rPr>
        <w:t>Protection</w:t>
      </w:r>
      <w:r w:rsidRPr="003126EA">
        <w:rPr>
          <w:i/>
          <w:spacing w:val="10"/>
        </w:rPr>
        <w:t xml:space="preserve"> </w:t>
      </w:r>
      <w:r w:rsidRPr="003126EA">
        <w:rPr>
          <w:i/>
          <w:spacing w:val="-5"/>
        </w:rPr>
        <w:t>Regulation</w:t>
      </w:r>
      <w:r w:rsidRPr="003126EA">
        <w:rPr>
          <w:i/>
          <w:spacing w:val="30"/>
        </w:rPr>
        <w:t xml:space="preserve"> </w:t>
      </w:r>
      <w:r w:rsidRPr="003126EA">
        <w:rPr>
          <w:i/>
          <w:spacing w:val="-5"/>
        </w:rPr>
        <w:t>2011</w:t>
      </w:r>
    </w:p>
    <w:p w14:paraId="4850D2A6" w14:textId="77777777" w:rsidR="000D1EA3" w:rsidRPr="000E334D" w:rsidRDefault="000D1EA3" w:rsidP="000D1EA3">
      <w:pPr>
        <w:pStyle w:val="BodyText"/>
        <w:rPr>
          <w:b w:val="0"/>
          <w:i/>
          <w:szCs w:val="22"/>
        </w:rPr>
      </w:pPr>
    </w:p>
    <w:p w14:paraId="5FAE15E6" w14:textId="77777777" w:rsidR="000D1EA3" w:rsidRPr="000E334D" w:rsidRDefault="000D1EA3" w:rsidP="000D1EA3">
      <w:pPr>
        <w:rPr>
          <w:b/>
          <w:sz w:val="24"/>
        </w:rPr>
      </w:pPr>
      <w:r w:rsidRPr="000E334D">
        <w:rPr>
          <w:b/>
          <w:sz w:val="24"/>
        </w:rPr>
        <w:t>Delegations:</w:t>
      </w:r>
    </w:p>
    <w:p w14:paraId="348B1277" w14:textId="7E84A244" w:rsidR="000D1EA3" w:rsidRPr="000E334D" w:rsidRDefault="000D1EA3" w:rsidP="000D1EA3">
      <w:pPr>
        <w:pStyle w:val="BodyText"/>
        <w:spacing w:before="117" w:line="242" w:lineRule="auto"/>
        <w:ind w:right="200"/>
        <w:rPr>
          <w:b w:val="0"/>
          <w:bCs/>
          <w:spacing w:val="-6"/>
        </w:rPr>
      </w:pPr>
      <w:r w:rsidRPr="000E334D">
        <w:rPr>
          <w:b w:val="0"/>
          <w:bCs/>
        </w:rPr>
        <w:t>Refer</w:t>
      </w:r>
      <w:r w:rsidRPr="000E334D">
        <w:rPr>
          <w:b w:val="0"/>
          <w:bCs/>
          <w:spacing w:val="-5"/>
        </w:rPr>
        <w:t xml:space="preserve"> </w:t>
      </w:r>
      <w:r w:rsidRPr="000E334D">
        <w:rPr>
          <w:b w:val="0"/>
          <w:bCs/>
          <w:spacing w:val="-2"/>
        </w:rPr>
        <w:t>to</w:t>
      </w:r>
      <w:r w:rsidRPr="000E334D">
        <w:rPr>
          <w:b w:val="0"/>
          <w:bCs/>
          <w:spacing w:val="-11"/>
        </w:rPr>
        <w:t xml:space="preserve"> </w:t>
      </w:r>
      <w:r w:rsidRPr="000E334D">
        <w:rPr>
          <w:b w:val="0"/>
          <w:bCs/>
          <w:spacing w:val="-4"/>
        </w:rPr>
        <w:t>instruments</w:t>
      </w:r>
      <w:r w:rsidRPr="000E334D">
        <w:rPr>
          <w:b w:val="0"/>
          <w:bCs/>
          <w:spacing w:val="-13"/>
        </w:rPr>
        <w:t xml:space="preserve"> </w:t>
      </w:r>
      <w:r w:rsidRPr="000E334D">
        <w:rPr>
          <w:b w:val="0"/>
          <w:bCs/>
          <w:spacing w:val="-3"/>
        </w:rPr>
        <w:t>of</w:t>
      </w:r>
      <w:r w:rsidRPr="000E334D">
        <w:rPr>
          <w:b w:val="0"/>
          <w:bCs/>
          <w:spacing w:val="12"/>
        </w:rPr>
        <w:t xml:space="preserve"> </w:t>
      </w:r>
      <w:r w:rsidRPr="000E334D">
        <w:rPr>
          <w:b w:val="0"/>
          <w:bCs/>
          <w:spacing w:val="-5"/>
        </w:rPr>
        <w:t>delegation</w:t>
      </w:r>
      <w:r w:rsidRPr="000E334D">
        <w:rPr>
          <w:b w:val="0"/>
          <w:bCs/>
          <w:spacing w:val="28"/>
        </w:rPr>
        <w:t xml:space="preserve"> </w:t>
      </w:r>
      <w:r w:rsidRPr="000E334D">
        <w:rPr>
          <w:b w:val="0"/>
          <w:bCs/>
          <w:spacing w:val="1"/>
        </w:rPr>
        <w:t>for</w:t>
      </w:r>
      <w:r w:rsidRPr="000E334D">
        <w:rPr>
          <w:b w:val="0"/>
          <w:bCs/>
          <w:spacing w:val="-4"/>
        </w:rPr>
        <w:t xml:space="preserve"> </w:t>
      </w:r>
      <w:r w:rsidRPr="000E334D">
        <w:rPr>
          <w:b w:val="0"/>
          <w:bCs/>
          <w:spacing w:val="-5"/>
        </w:rPr>
        <w:t>delegations</w:t>
      </w:r>
      <w:r w:rsidRPr="000E334D">
        <w:rPr>
          <w:b w:val="0"/>
          <w:bCs/>
          <w:spacing w:val="6"/>
        </w:rPr>
        <w:t xml:space="preserve"> </w:t>
      </w:r>
      <w:r w:rsidRPr="000E334D">
        <w:rPr>
          <w:b w:val="0"/>
          <w:bCs/>
          <w:spacing w:val="-3"/>
        </w:rPr>
        <w:t>relevant</w:t>
      </w:r>
      <w:r w:rsidRPr="000E334D">
        <w:rPr>
          <w:b w:val="0"/>
          <w:bCs/>
          <w:spacing w:val="-7"/>
        </w:rPr>
        <w:t xml:space="preserve"> </w:t>
      </w:r>
      <w:r w:rsidRPr="000E334D">
        <w:rPr>
          <w:b w:val="0"/>
          <w:bCs/>
          <w:spacing w:val="-2"/>
        </w:rPr>
        <w:t>to</w:t>
      </w:r>
      <w:r w:rsidRPr="000E334D">
        <w:rPr>
          <w:b w:val="0"/>
          <w:bCs/>
          <w:spacing w:val="8"/>
        </w:rPr>
        <w:t xml:space="preserve"> </w:t>
      </w:r>
      <w:r w:rsidR="004D346F" w:rsidRPr="000E334D">
        <w:rPr>
          <w:b w:val="0"/>
          <w:bCs/>
          <w:spacing w:val="-5"/>
        </w:rPr>
        <w:t>assessments</w:t>
      </w:r>
      <w:r w:rsidRPr="000E334D">
        <w:rPr>
          <w:b w:val="0"/>
          <w:bCs/>
          <w:spacing w:val="24"/>
        </w:rPr>
        <w:t xml:space="preserve"> </w:t>
      </w:r>
      <w:r w:rsidRPr="000E334D">
        <w:rPr>
          <w:b w:val="0"/>
          <w:bCs/>
          <w:spacing w:val="-6"/>
        </w:rPr>
        <w:t>and</w:t>
      </w:r>
      <w:r w:rsidRPr="000E334D">
        <w:rPr>
          <w:b w:val="0"/>
          <w:bCs/>
          <w:spacing w:val="35"/>
          <w:w w:val="102"/>
        </w:rPr>
        <w:t xml:space="preserve"> </w:t>
      </w:r>
      <w:r w:rsidRPr="000E334D">
        <w:rPr>
          <w:b w:val="0"/>
          <w:bCs/>
          <w:spacing w:val="-2"/>
        </w:rPr>
        <w:t>case</w:t>
      </w:r>
      <w:r w:rsidRPr="000E334D">
        <w:rPr>
          <w:b w:val="0"/>
          <w:bCs/>
          <w:spacing w:val="5"/>
        </w:rPr>
        <w:t xml:space="preserve"> </w:t>
      </w:r>
      <w:r w:rsidRPr="000E334D">
        <w:rPr>
          <w:b w:val="0"/>
          <w:bCs/>
          <w:spacing w:val="-6"/>
        </w:rPr>
        <w:t xml:space="preserve">planning. </w:t>
      </w:r>
    </w:p>
    <w:p w14:paraId="56502703" w14:textId="77777777" w:rsidR="000D1EA3" w:rsidRPr="000E334D" w:rsidRDefault="000D1EA3" w:rsidP="000D1EA3">
      <w:pPr>
        <w:pStyle w:val="BodyText"/>
        <w:pBdr>
          <w:bottom w:val="single" w:sz="4" w:space="1" w:color="auto"/>
        </w:pBdr>
        <w:spacing w:before="117" w:line="242" w:lineRule="auto"/>
        <w:ind w:right="200"/>
        <w:rPr>
          <w:szCs w:val="22"/>
        </w:rPr>
      </w:pPr>
    </w:p>
    <w:p w14:paraId="3E4C3CD4" w14:textId="77777777" w:rsidR="00464E12" w:rsidRDefault="00464E12" w:rsidP="000A6931">
      <w:pPr>
        <w:tabs>
          <w:tab w:val="left" w:pos="2552"/>
        </w:tabs>
        <w:spacing w:after="0"/>
        <w:rPr>
          <w:rFonts w:cs="Arial"/>
          <w:b/>
          <w:szCs w:val="22"/>
        </w:rPr>
      </w:pPr>
    </w:p>
    <w:p w14:paraId="5BF57861" w14:textId="2189CB62" w:rsidR="000D1EA3" w:rsidRPr="000E334D" w:rsidRDefault="000D1EA3" w:rsidP="000D1EA3">
      <w:pPr>
        <w:tabs>
          <w:tab w:val="left" w:pos="2552"/>
        </w:tabs>
        <w:rPr>
          <w:rFonts w:cs="Arial"/>
          <w:szCs w:val="22"/>
        </w:rPr>
      </w:pPr>
      <w:r w:rsidRPr="000E334D">
        <w:rPr>
          <w:rFonts w:cs="Arial"/>
          <w:b/>
          <w:szCs w:val="22"/>
        </w:rPr>
        <w:t>Records File No.:</w:t>
      </w:r>
      <w:r w:rsidRPr="000E334D">
        <w:rPr>
          <w:rFonts w:cs="Arial"/>
          <w:szCs w:val="22"/>
        </w:rPr>
        <w:t xml:space="preserve"> </w:t>
      </w:r>
      <w:r w:rsidRPr="000E334D">
        <w:rPr>
          <w:rFonts w:cs="Arial"/>
          <w:szCs w:val="22"/>
        </w:rPr>
        <w:tab/>
      </w:r>
      <w:r w:rsidRPr="000E334D">
        <w:rPr>
          <w:rFonts w:cs="Arial"/>
          <w:spacing w:val="-2"/>
        </w:rPr>
        <w:t>Not</w:t>
      </w:r>
      <w:r w:rsidRPr="000E334D">
        <w:rPr>
          <w:rFonts w:cs="Arial"/>
          <w:spacing w:val="23"/>
        </w:rPr>
        <w:t xml:space="preserve"> </w:t>
      </w:r>
      <w:r w:rsidRPr="000E334D">
        <w:rPr>
          <w:rFonts w:cs="Arial"/>
          <w:spacing w:val="-4"/>
        </w:rPr>
        <w:t>applicable</w:t>
      </w:r>
    </w:p>
    <w:p w14:paraId="7317F65B" w14:textId="0EDB8610" w:rsidR="000D1EA3" w:rsidRPr="000E334D" w:rsidRDefault="000D1EA3" w:rsidP="000D1EA3">
      <w:pPr>
        <w:tabs>
          <w:tab w:val="left" w:pos="2552"/>
        </w:tabs>
        <w:rPr>
          <w:rFonts w:cs="Arial"/>
          <w:szCs w:val="22"/>
        </w:rPr>
      </w:pPr>
      <w:r w:rsidRPr="000E334D">
        <w:rPr>
          <w:rFonts w:cs="Arial"/>
          <w:b/>
          <w:szCs w:val="22"/>
        </w:rPr>
        <w:t>Date of approval:</w:t>
      </w:r>
      <w:r w:rsidRPr="000E334D">
        <w:rPr>
          <w:rFonts w:cs="Arial"/>
          <w:szCs w:val="22"/>
        </w:rPr>
        <w:tab/>
      </w:r>
      <w:r w:rsidR="00132FF7">
        <w:rPr>
          <w:rFonts w:cs="Arial"/>
          <w:spacing w:val="-3"/>
        </w:rPr>
        <w:t>29 October 2024</w:t>
      </w:r>
    </w:p>
    <w:p w14:paraId="7952E815" w14:textId="0582C7F6" w:rsidR="000D1EA3" w:rsidRPr="000E334D" w:rsidRDefault="000D1EA3" w:rsidP="000D1EA3">
      <w:pPr>
        <w:tabs>
          <w:tab w:val="left" w:pos="2552"/>
        </w:tabs>
        <w:rPr>
          <w:rFonts w:cs="Arial"/>
          <w:szCs w:val="22"/>
        </w:rPr>
      </w:pPr>
      <w:r w:rsidRPr="000E334D">
        <w:rPr>
          <w:rFonts w:cs="Arial"/>
          <w:b/>
          <w:szCs w:val="22"/>
        </w:rPr>
        <w:t>Date of operation:</w:t>
      </w:r>
      <w:r w:rsidRPr="000E334D">
        <w:rPr>
          <w:rFonts w:cs="Arial"/>
          <w:szCs w:val="22"/>
        </w:rPr>
        <w:tab/>
      </w:r>
      <w:r w:rsidR="000A6931">
        <w:rPr>
          <w:rFonts w:cs="Arial"/>
          <w:szCs w:val="22"/>
        </w:rPr>
        <w:t>10 April</w:t>
      </w:r>
      <w:r w:rsidR="003126EA">
        <w:rPr>
          <w:rFonts w:cs="Arial"/>
          <w:spacing w:val="-3"/>
        </w:rPr>
        <w:t xml:space="preserve"> 202</w:t>
      </w:r>
      <w:r w:rsidR="00132FF7">
        <w:rPr>
          <w:rFonts w:cs="Arial"/>
          <w:spacing w:val="-3"/>
        </w:rPr>
        <w:t>5</w:t>
      </w:r>
    </w:p>
    <w:p w14:paraId="7C9E6489" w14:textId="15E84B9E" w:rsidR="000D1EA3" w:rsidRPr="000E334D" w:rsidRDefault="000D1EA3" w:rsidP="000D1EA3">
      <w:pPr>
        <w:tabs>
          <w:tab w:val="left" w:pos="2552"/>
        </w:tabs>
        <w:rPr>
          <w:rFonts w:cs="Arial"/>
          <w:spacing w:val="-6"/>
        </w:rPr>
      </w:pPr>
      <w:r w:rsidRPr="000E334D">
        <w:rPr>
          <w:rFonts w:cs="Arial"/>
          <w:b/>
          <w:szCs w:val="22"/>
        </w:rPr>
        <w:t>Date to be reviewed:</w:t>
      </w:r>
      <w:r w:rsidRPr="000E334D">
        <w:rPr>
          <w:rFonts w:cs="Arial"/>
          <w:szCs w:val="22"/>
        </w:rPr>
        <w:tab/>
      </w:r>
      <w:r w:rsidR="000A6931">
        <w:rPr>
          <w:rFonts w:cs="Arial"/>
          <w:szCs w:val="22"/>
        </w:rPr>
        <w:t>10 April</w:t>
      </w:r>
      <w:r w:rsidR="00111B7C">
        <w:rPr>
          <w:rFonts w:cs="Arial"/>
          <w:szCs w:val="22"/>
        </w:rPr>
        <w:t xml:space="preserve"> 2027</w:t>
      </w:r>
    </w:p>
    <w:p w14:paraId="6383E629" w14:textId="77777777" w:rsidR="000D1EA3" w:rsidRPr="000E334D" w:rsidRDefault="000D1EA3" w:rsidP="000D1EA3">
      <w:pPr>
        <w:pBdr>
          <w:bottom w:val="single" w:sz="4" w:space="1" w:color="auto"/>
        </w:pBdr>
        <w:tabs>
          <w:tab w:val="left" w:pos="2552"/>
        </w:tabs>
        <w:rPr>
          <w:rFonts w:cs="Arial"/>
          <w:color w:val="333333"/>
          <w:sz w:val="16"/>
        </w:rPr>
      </w:pPr>
    </w:p>
    <w:p w14:paraId="56219F9D" w14:textId="77777777" w:rsidR="000D1EA3" w:rsidRPr="000E334D" w:rsidRDefault="000D1EA3" w:rsidP="000D1EA3">
      <w:pPr>
        <w:tabs>
          <w:tab w:val="left" w:pos="2552"/>
        </w:tabs>
        <w:rPr>
          <w:rFonts w:cs="Arial"/>
          <w:szCs w:val="22"/>
        </w:rPr>
      </w:pPr>
      <w:r w:rsidRPr="000E334D">
        <w:rPr>
          <w:rFonts w:cs="Arial"/>
          <w:b/>
          <w:szCs w:val="22"/>
        </w:rPr>
        <w:t>Office:</w:t>
      </w:r>
      <w:r w:rsidRPr="000E334D">
        <w:rPr>
          <w:rFonts w:cs="Arial"/>
          <w:szCs w:val="22"/>
        </w:rPr>
        <w:tab/>
      </w:r>
      <w:r w:rsidRPr="000E334D">
        <w:rPr>
          <w:rFonts w:cs="Arial"/>
          <w:spacing w:val="-3"/>
        </w:rPr>
        <w:t>Office of the Chief Practitioner</w:t>
      </w:r>
    </w:p>
    <w:p w14:paraId="62F53960" w14:textId="77777777" w:rsidR="000D1EA3" w:rsidRPr="000E334D" w:rsidRDefault="000D1EA3" w:rsidP="000D1EA3">
      <w:pPr>
        <w:tabs>
          <w:tab w:val="left" w:pos="2552"/>
        </w:tabs>
        <w:rPr>
          <w:rFonts w:cs="Arial"/>
          <w:spacing w:val="-4"/>
        </w:rPr>
      </w:pPr>
      <w:r w:rsidRPr="000E334D">
        <w:rPr>
          <w:rFonts w:cs="Arial"/>
          <w:b/>
          <w:szCs w:val="22"/>
        </w:rPr>
        <w:t>Help Contact:</w:t>
      </w:r>
      <w:r w:rsidRPr="000E334D">
        <w:rPr>
          <w:rFonts w:cs="Arial"/>
          <w:szCs w:val="22"/>
        </w:rPr>
        <w:tab/>
      </w:r>
      <w:r w:rsidRPr="000E334D">
        <w:rPr>
          <w:rFonts w:cs="Arial"/>
          <w:spacing w:val="-4"/>
        </w:rPr>
        <w:t>Child Protection Practice</w:t>
      </w:r>
    </w:p>
    <w:p w14:paraId="74A714ED" w14:textId="77777777" w:rsidR="000D1EA3" w:rsidRPr="000E334D" w:rsidRDefault="000D1EA3" w:rsidP="000D1EA3">
      <w:pPr>
        <w:pBdr>
          <w:bottom w:val="single" w:sz="4" w:space="1" w:color="auto"/>
        </w:pBdr>
        <w:tabs>
          <w:tab w:val="left" w:pos="2552"/>
        </w:tabs>
        <w:rPr>
          <w:rFonts w:cs="Arial"/>
          <w:sz w:val="12"/>
        </w:rPr>
      </w:pPr>
    </w:p>
    <w:p w14:paraId="48DACE5E" w14:textId="77777777" w:rsidR="000D1EA3" w:rsidRPr="000E334D" w:rsidRDefault="000D1EA3" w:rsidP="000D1EA3">
      <w:pPr>
        <w:rPr>
          <w:rFonts w:cs="Arial"/>
          <w:b/>
          <w:szCs w:val="22"/>
        </w:rPr>
      </w:pPr>
      <w:r w:rsidRPr="000E334D">
        <w:rPr>
          <w:rFonts w:cs="Arial"/>
          <w:b/>
          <w:szCs w:val="22"/>
        </w:rPr>
        <w:t>Links:</w:t>
      </w:r>
    </w:p>
    <w:p w14:paraId="0D2BD92C" w14:textId="77777777" w:rsidR="000D1EA3" w:rsidRPr="000E334D" w:rsidRDefault="000D1EA3" w:rsidP="000A6931">
      <w:pPr>
        <w:pStyle w:val="Heading2"/>
        <w:spacing w:before="0" w:after="120"/>
        <w:rPr>
          <w:rFonts w:ascii="Arial" w:hAnsi="Arial"/>
          <w:b w:val="0"/>
          <w:bCs w:val="0"/>
        </w:rPr>
      </w:pPr>
      <w:r w:rsidRPr="000E334D">
        <w:rPr>
          <w:rFonts w:ascii="Arial" w:hAnsi="Arial"/>
          <w:spacing w:val="-3"/>
          <w:sz w:val="22"/>
          <w:szCs w:val="22"/>
        </w:rPr>
        <w:t>Procedures</w:t>
      </w:r>
    </w:p>
    <w:p w14:paraId="66372B79" w14:textId="77777777" w:rsidR="000D1EA3" w:rsidRPr="000E334D" w:rsidRDefault="000D1EA3" w:rsidP="000D1EA3">
      <w:pPr>
        <w:pStyle w:val="BodyText"/>
        <w:spacing w:after="240"/>
        <w:rPr>
          <w:rFonts w:cs="Arial"/>
          <w:b w:val="0"/>
          <w:bCs/>
        </w:rPr>
      </w:pPr>
      <w:r w:rsidRPr="000E334D">
        <w:rPr>
          <w:rFonts w:cs="Arial"/>
          <w:b w:val="0"/>
          <w:bCs/>
          <w:spacing w:val="-3"/>
        </w:rPr>
        <w:t>Child</w:t>
      </w:r>
      <w:r w:rsidRPr="000E334D">
        <w:rPr>
          <w:rFonts w:cs="Arial"/>
          <w:b w:val="0"/>
          <w:bCs/>
          <w:spacing w:val="31"/>
        </w:rPr>
        <w:t xml:space="preserve"> </w:t>
      </w:r>
      <w:r w:rsidRPr="000E334D">
        <w:rPr>
          <w:rFonts w:cs="Arial"/>
          <w:b w:val="0"/>
          <w:bCs/>
          <w:spacing w:val="-1"/>
        </w:rPr>
        <w:t>Safety</w:t>
      </w:r>
      <w:r w:rsidRPr="000E334D">
        <w:rPr>
          <w:rFonts w:cs="Arial"/>
          <w:b w:val="0"/>
          <w:bCs/>
          <w:spacing w:val="9"/>
        </w:rPr>
        <w:t xml:space="preserve"> </w:t>
      </w:r>
      <w:r w:rsidRPr="000E334D">
        <w:rPr>
          <w:rFonts w:cs="Arial"/>
          <w:b w:val="0"/>
          <w:bCs/>
        </w:rPr>
        <w:t>Practice</w:t>
      </w:r>
      <w:r w:rsidRPr="000E334D">
        <w:rPr>
          <w:rFonts w:cs="Arial"/>
          <w:b w:val="0"/>
          <w:bCs/>
          <w:spacing w:val="-10"/>
        </w:rPr>
        <w:t xml:space="preserve"> </w:t>
      </w:r>
      <w:r w:rsidRPr="000E334D">
        <w:rPr>
          <w:rFonts w:cs="Arial"/>
          <w:b w:val="0"/>
          <w:bCs/>
          <w:spacing w:val="-3"/>
        </w:rPr>
        <w:t>Manual</w:t>
      </w:r>
    </w:p>
    <w:p w14:paraId="6D8BAD87" w14:textId="77777777" w:rsidR="000D1EA3" w:rsidRPr="000E334D" w:rsidRDefault="000D1EA3" w:rsidP="000D1EA3">
      <w:pPr>
        <w:spacing w:before="120" w:line="356" w:lineRule="auto"/>
        <w:ind w:right="7090"/>
        <w:rPr>
          <w:rFonts w:cs="Arial"/>
          <w:i/>
          <w:spacing w:val="-3"/>
        </w:rPr>
      </w:pPr>
      <w:r w:rsidRPr="000E334D">
        <w:rPr>
          <w:rFonts w:cs="Arial"/>
          <w:b/>
          <w:spacing w:val="-3"/>
        </w:rPr>
        <w:t>Related</w:t>
      </w:r>
      <w:r w:rsidRPr="000E334D">
        <w:rPr>
          <w:rFonts w:cs="Arial"/>
          <w:b/>
          <w:spacing w:val="35"/>
        </w:rPr>
        <w:t xml:space="preserve"> </w:t>
      </w:r>
      <w:r w:rsidRPr="000E334D">
        <w:rPr>
          <w:rFonts w:cs="Arial"/>
          <w:b/>
          <w:spacing w:val="-4"/>
        </w:rPr>
        <w:t>Legislation</w:t>
      </w:r>
      <w:r w:rsidRPr="000E334D">
        <w:rPr>
          <w:rFonts w:cs="Arial"/>
          <w:b/>
          <w:spacing w:val="23"/>
          <w:w w:val="102"/>
        </w:rPr>
        <w:t xml:space="preserve"> </w:t>
      </w:r>
      <w:r w:rsidRPr="000E334D">
        <w:rPr>
          <w:rFonts w:cs="Arial"/>
          <w:i/>
          <w:spacing w:val="-4"/>
        </w:rPr>
        <w:t>Human</w:t>
      </w:r>
      <w:r w:rsidRPr="000E334D">
        <w:rPr>
          <w:rFonts w:cs="Arial"/>
          <w:i/>
          <w:spacing w:val="8"/>
        </w:rPr>
        <w:t xml:space="preserve"> </w:t>
      </w:r>
      <w:r w:rsidRPr="000E334D">
        <w:rPr>
          <w:rFonts w:cs="Arial"/>
          <w:i/>
          <w:spacing w:val="-3"/>
        </w:rPr>
        <w:t>Rights</w:t>
      </w:r>
      <w:r w:rsidRPr="000E334D">
        <w:rPr>
          <w:rFonts w:cs="Arial"/>
          <w:i/>
          <w:spacing w:val="25"/>
        </w:rPr>
        <w:t xml:space="preserve"> </w:t>
      </w:r>
      <w:r w:rsidRPr="000E334D">
        <w:rPr>
          <w:rFonts w:cs="Arial"/>
          <w:i/>
          <w:spacing w:val="1"/>
        </w:rPr>
        <w:t>Act</w:t>
      </w:r>
      <w:r w:rsidRPr="000E334D">
        <w:rPr>
          <w:rFonts w:cs="Arial"/>
          <w:i/>
          <w:spacing w:val="-8"/>
        </w:rPr>
        <w:t xml:space="preserve"> </w:t>
      </w:r>
      <w:r w:rsidRPr="000E334D">
        <w:rPr>
          <w:rFonts w:cs="Arial"/>
          <w:i/>
          <w:spacing w:val="-5"/>
        </w:rPr>
        <w:t>2019</w:t>
      </w:r>
      <w:r w:rsidRPr="000E334D">
        <w:rPr>
          <w:rFonts w:cs="Arial"/>
          <w:i/>
          <w:spacing w:val="26"/>
          <w:w w:val="102"/>
        </w:rPr>
        <w:t xml:space="preserve"> </w:t>
      </w:r>
      <w:r w:rsidRPr="000E334D">
        <w:rPr>
          <w:rFonts w:cs="Arial"/>
          <w:i/>
          <w:spacing w:val="-4"/>
        </w:rPr>
        <w:t>Public</w:t>
      </w:r>
      <w:r w:rsidRPr="000E334D">
        <w:rPr>
          <w:rFonts w:cs="Arial"/>
          <w:i/>
          <w:spacing w:val="24"/>
        </w:rPr>
        <w:t xml:space="preserve"> </w:t>
      </w:r>
      <w:r w:rsidRPr="000E334D">
        <w:rPr>
          <w:rFonts w:cs="Arial"/>
          <w:i/>
          <w:spacing w:val="-3"/>
        </w:rPr>
        <w:t>Guardian Act 2014</w:t>
      </w:r>
    </w:p>
    <w:p w14:paraId="778A8A6F" w14:textId="31D4035F" w:rsidR="00615C0F" w:rsidRDefault="00615C0F" w:rsidP="00B665D9">
      <w:pPr>
        <w:pStyle w:val="BodyText2"/>
      </w:pPr>
    </w:p>
    <w:p w14:paraId="2D9231B3" w14:textId="77777777" w:rsidR="000D1EA3" w:rsidRDefault="000D1EA3" w:rsidP="00B665D9">
      <w:pPr>
        <w:pStyle w:val="BodyText2"/>
      </w:pPr>
    </w:p>
    <w:p w14:paraId="2D1B6EED" w14:textId="77777777" w:rsidR="000D1EA3" w:rsidRPr="000E334D" w:rsidRDefault="000D1EA3" w:rsidP="000D1EA3">
      <w:pPr>
        <w:pStyle w:val="Heading2"/>
        <w:spacing w:before="120" w:after="120"/>
        <w:rPr>
          <w:rFonts w:ascii="Arial" w:hAnsi="Arial"/>
          <w:sz w:val="22"/>
          <w:szCs w:val="22"/>
        </w:rPr>
      </w:pPr>
      <w:r w:rsidRPr="000E334D">
        <w:rPr>
          <w:rFonts w:ascii="Arial" w:hAnsi="Arial"/>
          <w:spacing w:val="-3"/>
          <w:sz w:val="22"/>
          <w:szCs w:val="22"/>
        </w:rPr>
        <w:t>Related</w:t>
      </w:r>
      <w:r w:rsidRPr="000E334D">
        <w:rPr>
          <w:rFonts w:ascii="Arial" w:hAnsi="Arial"/>
          <w:spacing w:val="29"/>
          <w:sz w:val="22"/>
          <w:szCs w:val="22"/>
        </w:rPr>
        <w:t xml:space="preserve"> </w:t>
      </w:r>
      <w:r w:rsidRPr="000E334D">
        <w:rPr>
          <w:rFonts w:ascii="Arial" w:hAnsi="Arial"/>
          <w:spacing w:val="-3"/>
          <w:sz w:val="22"/>
          <w:szCs w:val="22"/>
        </w:rPr>
        <w:t>Policies</w:t>
      </w:r>
    </w:p>
    <w:p w14:paraId="2E433295" w14:textId="77777777" w:rsidR="000D1EA3" w:rsidRPr="000E334D" w:rsidRDefault="000D1EA3" w:rsidP="000A6931">
      <w:pPr>
        <w:pStyle w:val="BodyText"/>
        <w:spacing w:after="120"/>
        <w:rPr>
          <w:rFonts w:cs="Arial"/>
          <w:b w:val="0"/>
          <w:szCs w:val="22"/>
        </w:rPr>
      </w:pPr>
      <w:r w:rsidRPr="000E334D">
        <w:rPr>
          <w:rFonts w:cs="Arial"/>
          <w:b w:val="0"/>
          <w:spacing w:val="-3"/>
          <w:szCs w:val="22"/>
        </w:rPr>
        <w:t>Dual</w:t>
      </w:r>
      <w:r w:rsidRPr="000E334D">
        <w:rPr>
          <w:rFonts w:cs="Arial"/>
          <w:b w:val="0"/>
          <w:spacing w:val="6"/>
          <w:szCs w:val="22"/>
        </w:rPr>
        <w:t xml:space="preserve"> </w:t>
      </w:r>
      <w:r w:rsidRPr="000E334D">
        <w:rPr>
          <w:rFonts w:cs="Arial"/>
          <w:b w:val="0"/>
          <w:spacing w:val="-2"/>
          <w:szCs w:val="22"/>
        </w:rPr>
        <w:t>payment</w:t>
      </w:r>
      <w:r w:rsidRPr="000E334D">
        <w:rPr>
          <w:rFonts w:cs="Arial"/>
          <w:b w:val="0"/>
          <w:spacing w:val="11"/>
          <w:szCs w:val="22"/>
        </w:rPr>
        <w:t xml:space="preserve"> </w:t>
      </w:r>
      <w:r w:rsidRPr="000E334D">
        <w:rPr>
          <w:rFonts w:cs="Arial"/>
          <w:b w:val="0"/>
          <w:spacing w:val="-3"/>
          <w:szCs w:val="22"/>
        </w:rPr>
        <w:t>of</w:t>
      </w:r>
      <w:r w:rsidRPr="000E334D">
        <w:rPr>
          <w:rFonts w:cs="Arial"/>
          <w:b w:val="0"/>
          <w:spacing w:val="11"/>
          <w:szCs w:val="22"/>
        </w:rPr>
        <w:t xml:space="preserve"> </w:t>
      </w:r>
      <w:r w:rsidRPr="000E334D">
        <w:rPr>
          <w:rFonts w:cs="Arial"/>
          <w:b w:val="0"/>
          <w:spacing w:val="-1"/>
          <w:szCs w:val="22"/>
        </w:rPr>
        <w:t>carer</w:t>
      </w:r>
      <w:r w:rsidRPr="000E334D">
        <w:rPr>
          <w:rFonts w:cs="Arial"/>
          <w:b w:val="0"/>
          <w:spacing w:val="-6"/>
          <w:szCs w:val="22"/>
        </w:rPr>
        <w:t xml:space="preserve"> </w:t>
      </w:r>
      <w:r w:rsidRPr="000E334D">
        <w:rPr>
          <w:rFonts w:cs="Arial"/>
          <w:b w:val="0"/>
          <w:spacing w:val="-4"/>
          <w:szCs w:val="22"/>
        </w:rPr>
        <w:t>allowances</w:t>
      </w:r>
      <w:r w:rsidRPr="000E334D">
        <w:rPr>
          <w:rFonts w:cs="Arial"/>
          <w:b w:val="0"/>
          <w:spacing w:val="23"/>
          <w:szCs w:val="22"/>
        </w:rPr>
        <w:t xml:space="preserve"> </w:t>
      </w:r>
      <w:r w:rsidRPr="000E334D">
        <w:rPr>
          <w:rFonts w:cs="Arial"/>
          <w:b w:val="0"/>
          <w:spacing w:val="-4"/>
          <w:szCs w:val="22"/>
        </w:rPr>
        <w:t>(289)</w:t>
      </w:r>
    </w:p>
    <w:p w14:paraId="62F836FF" w14:textId="77777777" w:rsidR="000D1EA3" w:rsidRPr="000E334D" w:rsidRDefault="000D1EA3" w:rsidP="000A6931">
      <w:pPr>
        <w:pStyle w:val="BodyText"/>
        <w:spacing w:after="120"/>
        <w:rPr>
          <w:rFonts w:cs="Arial"/>
          <w:b w:val="0"/>
          <w:spacing w:val="-4"/>
          <w:szCs w:val="22"/>
        </w:rPr>
      </w:pPr>
      <w:r w:rsidRPr="000E334D">
        <w:rPr>
          <w:rFonts w:cs="Arial"/>
          <w:b w:val="0"/>
          <w:spacing w:val="-4"/>
          <w:szCs w:val="22"/>
        </w:rPr>
        <w:t>Intervention</w:t>
      </w:r>
      <w:r w:rsidRPr="000E334D">
        <w:rPr>
          <w:rFonts w:cs="Arial"/>
          <w:b w:val="0"/>
          <w:spacing w:val="29"/>
          <w:szCs w:val="22"/>
        </w:rPr>
        <w:t xml:space="preserve"> </w:t>
      </w:r>
      <w:r w:rsidRPr="000E334D">
        <w:rPr>
          <w:rFonts w:cs="Arial"/>
          <w:b w:val="0"/>
          <w:spacing w:val="-2"/>
          <w:szCs w:val="22"/>
        </w:rPr>
        <w:t>with</w:t>
      </w:r>
      <w:r w:rsidRPr="000E334D">
        <w:rPr>
          <w:rFonts w:cs="Arial"/>
          <w:b w:val="0"/>
          <w:spacing w:val="10"/>
          <w:szCs w:val="22"/>
        </w:rPr>
        <w:t xml:space="preserve"> </w:t>
      </w:r>
      <w:r w:rsidRPr="000E334D">
        <w:rPr>
          <w:rFonts w:cs="Arial"/>
          <w:b w:val="0"/>
          <w:spacing w:val="-4"/>
          <w:szCs w:val="22"/>
        </w:rPr>
        <w:t>parental</w:t>
      </w:r>
      <w:r w:rsidRPr="000E334D">
        <w:rPr>
          <w:rFonts w:cs="Arial"/>
          <w:b w:val="0"/>
          <w:spacing w:val="30"/>
          <w:szCs w:val="22"/>
        </w:rPr>
        <w:t xml:space="preserve"> </w:t>
      </w:r>
      <w:r w:rsidRPr="000E334D">
        <w:rPr>
          <w:rFonts w:cs="Arial"/>
          <w:b w:val="0"/>
          <w:spacing w:val="-4"/>
          <w:szCs w:val="22"/>
        </w:rPr>
        <w:t>agreement</w:t>
      </w:r>
      <w:r w:rsidRPr="000E334D">
        <w:rPr>
          <w:rFonts w:cs="Arial"/>
          <w:b w:val="0"/>
          <w:spacing w:val="14"/>
          <w:szCs w:val="22"/>
        </w:rPr>
        <w:t xml:space="preserve"> </w:t>
      </w:r>
      <w:r w:rsidRPr="000E334D">
        <w:rPr>
          <w:rFonts w:cs="Arial"/>
          <w:b w:val="0"/>
          <w:spacing w:val="-4"/>
          <w:szCs w:val="22"/>
        </w:rPr>
        <w:t>(343)</w:t>
      </w:r>
    </w:p>
    <w:p w14:paraId="6762CFAB" w14:textId="77777777" w:rsidR="000D1EA3" w:rsidRPr="000E334D" w:rsidRDefault="000D1EA3" w:rsidP="000A6931">
      <w:pPr>
        <w:pStyle w:val="BodyText"/>
        <w:spacing w:after="120"/>
        <w:rPr>
          <w:rFonts w:cs="Arial"/>
          <w:b w:val="0"/>
          <w:spacing w:val="-4"/>
          <w:szCs w:val="22"/>
        </w:rPr>
      </w:pPr>
      <w:r w:rsidRPr="000E334D">
        <w:rPr>
          <w:rFonts w:cs="Arial"/>
          <w:b w:val="0"/>
          <w:spacing w:val="-4"/>
          <w:szCs w:val="22"/>
        </w:rPr>
        <w:t>Responding to a notification (652)</w:t>
      </w:r>
    </w:p>
    <w:p w14:paraId="54C5B6B3" w14:textId="77777777" w:rsidR="000D1EA3" w:rsidRPr="000E334D" w:rsidRDefault="000D1EA3" w:rsidP="000D1EA3">
      <w:pPr>
        <w:pStyle w:val="BodyText"/>
        <w:rPr>
          <w:rFonts w:cs="Arial"/>
          <w:b w:val="0"/>
          <w:spacing w:val="51"/>
          <w:w w:val="102"/>
          <w:szCs w:val="22"/>
        </w:rPr>
      </w:pPr>
      <w:r w:rsidRPr="000E334D">
        <w:rPr>
          <w:rFonts w:cs="Arial"/>
          <w:b w:val="0"/>
          <w:spacing w:val="-4"/>
          <w:szCs w:val="22"/>
        </w:rPr>
        <w:t>Supporting</w:t>
      </w:r>
      <w:r w:rsidRPr="000E334D">
        <w:rPr>
          <w:rFonts w:cs="Arial"/>
          <w:b w:val="0"/>
          <w:spacing w:val="22"/>
          <w:szCs w:val="22"/>
        </w:rPr>
        <w:t xml:space="preserve"> </w:t>
      </w:r>
      <w:r w:rsidRPr="000E334D">
        <w:rPr>
          <w:rFonts w:cs="Arial"/>
          <w:b w:val="0"/>
          <w:spacing w:val="-3"/>
          <w:szCs w:val="22"/>
        </w:rPr>
        <w:t>children</w:t>
      </w:r>
      <w:r w:rsidRPr="000E334D">
        <w:rPr>
          <w:rFonts w:cs="Arial"/>
          <w:b w:val="0"/>
          <w:spacing w:val="23"/>
          <w:szCs w:val="22"/>
        </w:rPr>
        <w:t xml:space="preserve"> </w:t>
      </w:r>
      <w:r w:rsidRPr="000E334D">
        <w:rPr>
          <w:rFonts w:cs="Arial"/>
          <w:b w:val="0"/>
          <w:spacing w:val="-3"/>
          <w:szCs w:val="22"/>
        </w:rPr>
        <w:t>in</w:t>
      </w:r>
      <w:r w:rsidRPr="000E334D">
        <w:rPr>
          <w:rFonts w:cs="Arial"/>
          <w:b w:val="0"/>
          <w:spacing w:val="4"/>
          <w:szCs w:val="22"/>
        </w:rPr>
        <w:t xml:space="preserve"> </w:t>
      </w:r>
      <w:r w:rsidRPr="000E334D">
        <w:rPr>
          <w:rFonts w:cs="Arial"/>
          <w:b w:val="0"/>
          <w:spacing w:val="-3"/>
          <w:szCs w:val="22"/>
        </w:rPr>
        <w:t>the</w:t>
      </w:r>
      <w:r w:rsidRPr="000E334D">
        <w:rPr>
          <w:rFonts w:cs="Arial"/>
          <w:b w:val="0"/>
          <w:spacing w:val="5"/>
          <w:szCs w:val="22"/>
        </w:rPr>
        <w:t xml:space="preserve"> </w:t>
      </w:r>
      <w:r w:rsidRPr="000E334D">
        <w:rPr>
          <w:rFonts w:cs="Arial"/>
          <w:b w:val="0"/>
          <w:szCs w:val="22"/>
        </w:rPr>
        <w:t>care</w:t>
      </w:r>
      <w:r w:rsidRPr="000E334D">
        <w:rPr>
          <w:rFonts w:cs="Arial"/>
          <w:b w:val="0"/>
          <w:spacing w:val="4"/>
          <w:szCs w:val="22"/>
        </w:rPr>
        <w:t xml:space="preserve"> </w:t>
      </w:r>
      <w:r w:rsidRPr="000E334D">
        <w:rPr>
          <w:rFonts w:cs="Arial"/>
          <w:b w:val="0"/>
          <w:spacing w:val="-3"/>
          <w:szCs w:val="22"/>
        </w:rPr>
        <w:t>of</w:t>
      </w:r>
      <w:r w:rsidRPr="000E334D">
        <w:rPr>
          <w:rFonts w:cs="Arial"/>
          <w:b w:val="0"/>
          <w:spacing w:val="8"/>
          <w:szCs w:val="22"/>
        </w:rPr>
        <w:t xml:space="preserve"> </w:t>
      </w:r>
      <w:r w:rsidRPr="000E334D">
        <w:rPr>
          <w:rFonts w:cs="Arial"/>
          <w:b w:val="0"/>
          <w:spacing w:val="-3"/>
          <w:szCs w:val="22"/>
        </w:rPr>
        <w:t>long-term</w:t>
      </w:r>
      <w:r w:rsidRPr="000E334D">
        <w:rPr>
          <w:rFonts w:cs="Arial"/>
          <w:b w:val="0"/>
          <w:spacing w:val="21"/>
          <w:szCs w:val="22"/>
        </w:rPr>
        <w:t xml:space="preserve"> </w:t>
      </w:r>
      <w:r w:rsidRPr="000E334D">
        <w:rPr>
          <w:rFonts w:cs="Arial"/>
          <w:b w:val="0"/>
          <w:spacing w:val="-4"/>
          <w:szCs w:val="22"/>
        </w:rPr>
        <w:t>and</w:t>
      </w:r>
      <w:r w:rsidRPr="000E334D">
        <w:rPr>
          <w:rFonts w:cs="Arial"/>
          <w:b w:val="0"/>
          <w:spacing w:val="22"/>
          <w:szCs w:val="22"/>
        </w:rPr>
        <w:t xml:space="preserve"> </w:t>
      </w:r>
      <w:r w:rsidRPr="000E334D">
        <w:rPr>
          <w:rFonts w:cs="Arial"/>
          <w:b w:val="0"/>
          <w:spacing w:val="-4"/>
          <w:szCs w:val="22"/>
        </w:rPr>
        <w:t>permanent</w:t>
      </w:r>
      <w:r w:rsidRPr="000E334D">
        <w:rPr>
          <w:rFonts w:cs="Arial"/>
          <w:b w:val="0"/>
          <w:spacing w:val="8"/>
          <w:szCs w:val="22"/>
        </w:rPr>
        <w:t xml:space="preserve"> </w:t>
      </w:r>
      <w:r w:rsidRPr="000E334D">
        <w:rPr>
          <w:rFonts w:cs="Arial"/>
          <w:b w:val="0"/>
          <w:spacing w:val="-5"/>
          <w:szCs w:val="22"/>
        </w:rPr>
        <w:t>guardians</w:t>
      </w:r>
      <w:r w:rsidRPr="000E334D">
        <w:rPr>
          <w:rFonts w:cs="Arial"/>
          <w:b w:val="0"/>
          <w:spacing w:val="44"/>
          <w:szCs w:val="22"/>
        </w:rPr>
        <w:t xml:space="preserve"> </w:t>
      </w:r>
      <w:r w:rsidRPr="000E334D">
        <w:rPr>
          <w:rFonts w:cs="Arial"/>
          <w:b w:val="0"/>
          <w:spacing w:val="-4"/>
          <w:szCs w:val="22"/>
        </w:rPr>
        <w:t>(607)</w:t>
      </w:r>
      <w:r w:rsidRPr="000E334D">
        <w:rPr>
          <w:rFonts w:cs="Arial"/>
          <w:b w:val="0"/>
          <w:spacing w:val="51"/>
          <w:w w:val="102"/>
          <w:szCs w:val="22"/>
        </w:rPr>
        <w:t xml:space="preserve"> </w:t>
      </w:r>
    </w:p>
    <w:p w14:paraId="6F743457" w14:textId="77777777" w:rsidR="00D52D26" w:rsidRDefault="00D52D26" w:rsidP="000D1EA3">
      <w:pPr>
        <w:pStyle w:val="Heading2"/>
        <w:spacing w:before="120" w:after="120"/>
        <w:rPr>
          <w:rFonts w:ascii="Arial" w:hAnsi="Arial"/>
          <w:spacing w:val="-2"/>
          <w:sz w:val="22"/>
          <w:szCs w:val="22"/>
        </w:rPr>
      </w:pPr>
    </w:p>
    <w:p w14:paraId="3FFEDA3A" w14:textId="2916EC4E" w:rsidR="000D1EA3" w:rsidRPr="000E334D" w:rsidRDefault="000D1EA3" w:rsidP="000D1EA3">
      <w:pPr>
        <w:pStyle w:val="Heading2"/>
        <w:spacing w:before="120" w:after="120"/>
        <w:rPr>
          <w:rFonts w:ascii="Arial" w:hAnsi="Arial"/>
          <w:b w:val="0"/>
          <w:bCs w:val="0"/>
          <w:sz w:val="22"/>
          <w:szCs w:val="22"/>
        </w:rPr>
      </w:pPr>
      <w:r w:rsidRPr="000E334D">
        <w:rPr>
          <w:rFonts w:ascii="Arial" w:hAnsi="Arial"/>
          <w:spacing w:val="-2"/>
          <w:sz w:val="22"/>
          <w:szCs w:val="22"/>
        </w:rPr>
        <w:t>Forms</w:t>
      </w:r>
    </w:p>
    <w:p w14:paraId="2F06BDCF" w14:textId="77777777" w:rsidR="000D1EA3" w:rsidRPr="000E334D" w:rsidRDefault="000D1EA3" w:rsidP="000D1EA3">
      <w:pPr>
        <w:pStyle w:val="BodyText"/>
        <w:spacing w:after="240"/>
        <w:rPr>
          <w:rFonts w:cs="Arial"/>
          <w:b w:val="0"/>
          <w:spacing w:val="-4"/>
          <w:szCs w:val="22"/>
        </w:rPr>
      </w:pPr>
      <w:r w:rsidRPr="000E334D">
        <w:rPr>
          <w:rFonts w:cs="Arial"/>
          <w:b w:val="0"/>
          <w:spacing w:val="-2"/>
          <w:szCs w:val="22"/>
        </w:rPr>
        <w:t>Approved</w:t>
      </w:r>
      <w:r w:rsidRPr="000E334D">
        <w:rPr>
          <w:rFonts w:cs="Arial"/>
          <w:b w:val="0"/>
          <w:spacing w:val="9"/>
          <w:szCs w:val="22"/>
        </w:rPr>
        <w:t xml:space="preserve"> </w:t>
      </w:r>
      <w:r w:rsidRPr="000E334D">
        <w:rPr>
          <w:rFonts w:cs="Arial"/>
          <w:b w:val="0"/>
          <w:spacing w:val="-1"/>
          <w:szCs w:val="22"/>
        </w:rPr>
        <w:t>carer</w:t>
      </w:r>
      <w:r w:rsidRPr="000E334D">
        <w:rPr>
          <w:rFonts w:cs="Arial"/>
          <w:b w:val="0"/>
          <w:spacing w:val="-4"/>
          <w:szCs w:val="22"/>
        </w:rPr>
        <w:t xml:space="preserve"> </w:t>
      </w:r>
      <w:r w:rsidRPr="000E334D">
        <w:rPr>
          <w:rFonts w:cs="Arial"/>
          <w:b w:val="0"/>
          <w:spacing w:val="-2"/>
          <w:szCs w:val="22"/>
        </w:rPr>
        <w:t>payment</w:t>
      </w:r>
      <w:r w:rsidRPr="000E334D">
        <w:rPr>
          <w:rFonts w:cs="Arial"/>
          <w:b w:val="0"/>
          <w:spacing w:val="13"/>
          <w:szCs w:val="22"/>
        </w:rPr>
        <w:t xml:space="preserve"> </w:t>
      </w:r>
      <w:r w:rsidRPr="000E334D">
        <w:rPr>
          <w:rFonts w:cs="Arial"/>
          <w:b w:val="0"/>
          <w:szCs w:val="22"/>
        </w:rPr>
        <w:t>form</w:t>
      </w:r>
      <w:r w:rsidRPr="000E334D">
        <w:rPr>
          <w:rFonts w:cs="Arial"/>
          <w:b w:val="0"/>
          <w:spacing w:val="13"/>
          <w:szCs w:val="22"/>
        </w:rPr>
        <w:t xml:space="preserve"> </w:t>
      </w:r>
      <w:r w:rsidRPr="000E334D">
        <w:rPr>
          <w:rFonts w:cs="Arial"/>
          <w:b w:val="0"/>
          <w:szCs w:val="22"/>
        </w:rPr>
        <w:t>–</w:t>
      </w:r>
      <w:r w:rsidRPr="000E334D">
        <w:rPr>
          <w:rFonts w:cs="Arial"/>
          <w:b w:val="0"/>
          <w:spacing w:val="-10"/>
          <w:szCs w:val="22"/>
        </w:rPr>
        <w:t xml:space="preserve"> </w:t>
      </w:r>
      <w:r w:rsidRPr="000E334D">
        <w:rPr>
          <w:rFonts w:cs="Arial"/>
          <w:b w:val="0"/>
          <w:spacing w:val="-1"/>
          <w:szCs w:val="22"/>
        </w:rPr>
        <w:t>Care</w:t>
      </w:r>
      <w:r w:rsidRPr="000E334D">
        <w:rPr>
          <w:rFonts w:cs="Arial"/>
          <w:b w:val="0"/>
          <w:spacing w:val="9"/>
          <w:szCs w:val="22"/>
        </w:rPr>
        <w:t xml:space="preserve"> </w:t>
      </w:r>
      <w:r w:rsidRPr="000E334D">
        <w:rPr>
          <w:rFonts w:cs="Arial"/>
          <w:b w:val="0"/>
          <w:spacing w:val="-4"/>
          <w:szCs w:val="22"/>
        </w:rPr>
        <w:t>agreement</w:t>
      </w:r>
    </w:p>
    <w:p w14:paraId="6A4968EE" w14:textId="77777777" w:rsidR="00D52D26" w:rsidRDefault="00D52D26" w:rsidP="000D1EA3">
      <w:pPr>
        <w:pStyle w:val="BodyText"/>
        <w:spacing w:before="120" w:after="120"/>
        <w:rPr>
          <w:rFonts w:cs="Arial"/>
          <w:bCs/>
          <w:spacing w:val="-4"/>
          <w:szCs w:val="22"/>
        </w:rPr>
      </w:pPr>
    </w:p>
    <w:p w14:paraId="30AC86C4" w14:textId="6AC031F5" w:rsidR="000D1EA3" w:rsidRPr="000E334D" w:rsidRDefault="000D1EA3" w:rsidP="000D1EA3">
      <w:pPr>
        <w:pStyle w:val="BodyText"/>
        <w:spacing w:before="120" w:after="120"/>
        <w:rPr>
          <w:rFonts w:cs="Arial"/>
          <w:bCs/>
          <w:spacing w:val="-4"/>
          <w:szCs w:val="22"/>
        </w:rPr>
      </w:pPr>
      <w:r w:rsidRPr="000E334D">
        <w:rPr>
          <w:rFonts w:cs="Arial"/>
          <w:bCs/>
          <w:spacing w:val="-4"/>
          <w:szCs w:val="22"/>
        </w:rPr>
        <w:t xml:space="preserve">Rescinded policies </w:t>
      </w:r>
    </w:p>
    <w:p w14:paraId="65BADB80" w14:textId="689437B2" w:rsidR="000D1EA3" w:rsidRPr="000E334D" w:rsidRDefault="000D1EA3" w:rsidP="000D1EA3">
      <w:pPr>
        <w:pStyle w:val="BodyText"/>
        <w:rPr>
          <w:rFonts w:cs="Arial"/>
          <w:b w:val="0"/>
          <w:spacing w:val="-4"/>
          <w:szCs w:val="22"/>
        </w:rPr>
      </w:pPr>
      <w:r w:rsidRPr="000E334D">
        <w:rPr>
          <w:rFonts w:cs="Arial"/>
          <w:b w:val="0"/>
          <w:spacing w:val="-4"/>
          <w:szCs w:val="22"/>
        </w:rPr>
        <w:t>415-</w:t>
      </w:r>
      <w:r w:rsidR="00464E12">
        <w:rPr>
          <w:rFonts w:cs="Arial"/>
          <w:b w:val="0"/>
          <w:spacing w:val="-4"/>
          <w:szCs w:val="22"/>
        </w:rPr>
        <w:t>6</w:t>
      </w:r>
      <w:r w:rsidR="00464E12" w:rsidRPr="000E334D">
        <w:rPr>
          <w:rFonts w:cs="Arial"/>
          <w:b w:val="0"/>
          <w:spacing w:val="-4"/>
          <w:szCs w:val="22"/>
        </w:rPr>
        <w:t xml:space="preserve"> </w:t>
      </w:r>
      <w:r w:rsidRPr="000E334D">
        <w:rPr>
          <w:rFonts w:cs="Arial"/>
          <w:b w:val="0"/>
          <w:spacing w:val="-4"/>
          <w:szCs w:val="22"/>
        </w:rPr>
        <w:t>Care agreements</w:t>
      </w:r>
    </w:p>
    <w:p w14:paraId="72792B35" w14:textId="2D7B7329" w:rsidR="000D1EA3" w:rsidRDefault="000D1EA3" w:rsidP="00B665D9">
      <w:pPr>
        <w:pStyle w:val="BodyText2"/>
      </w:pPr>
    </w:p>
    <w:p w14:paraId="73FDBCBD" w14:textId="1AD11FAF" w:rsidR="000D1EA3" w:rsidRDefault="000D1EA3" w:rsidP="00B665D9">
      <w:pPr>
        <w:pStyle w:val="BodyText2"/>
      </w:pPr>
    </w:p>
    <w:p w14:paraId="05AFBED4" w14:textId="77777777" w:rsidR="00615C0F" w:rsidRPr="000F3089" w:rsidRDefault="00615C0F" w:rsidP="00615C0F">
      <w:pPr>
        <w:pBdr>
          <w:bottom w:val="single" w:sz="6" w:space="1" w:color="auto"/>
        </w:pBdr>
        <w:jc w:val="both"/>
        <w:rPr>
          <w:color w:val="333333"/>
          <w:sz w:val="16"/>
        </w:rPr>
      </w:pPr>
    </w:p>
    <w:p w14:paraId="423871AE" w14:textId="77777777" w:rsidR="00615C0F" w:rsidRPr="000F3089" w:rsidRDefault="00615C0F" w:rsidP="00B665D9"/>
    <w:p w14:paraId="0A6DEF90" w14:textId="33BFF392" w:rsidR="00AF308E" w:rsidRDefault="00AE5782" w:rsidP="00B665D9">
      <w:r>
        <w:t>Deidre Mulkerin</w:t>
      </w:r>
    </w:p>
    <w:p w14:paraId="368C2880" w14:textId="77777777" w:rsidR="00AF308E" w:rsidRPr="00223BE7" w:rsidRDefault="00AF308E" w:rsidP="00B665D9">
      <w:r w:rsidRPr="000F3089">
        <w:t>Director-General</w:t>
      </w:r>
    </w:p>
    <w:p w14:paraId="39FA9164" w14:textId="77777777" w:rsidR="00AF44CE" w:rsidRDefault="00AF44CE" w:rsidP="00B665D9">
      <w:pPr>
        <w:rPr>
          <w:lang w:val="en-US"/>
        </w:rPr>
        <w:sectPr w:rsidR="00AF44CE" w:rsidSect="00393EF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567"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72CB" w14:textId="77777777" w:rsidR="00FB4114" w:rsidRDefault="00FB4114">
      <w:r>
        <w:separator/>
      </w:r>
    </w:p>
  </w:endnote>
  <w:endnote w:type="continuationSeparator" w:id="0">
    <w:p w14:paraId="0140FB29" w14:textId="77777777" w:rsidR="00FB4114" w:rsidRDefault="00FB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6218" w14:textId="77777777" w:rsidR="002941EF" w:rsidRDefault="00294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5AA255F2" w:rsidR="00C45FE8" w:rsidRPr="00025C5C" w:rsidRDefault="00025C5C" w:rsidP="00025C5C">
    <w:pPr>
      <w:pStyle w:val="Footer"/>
    </w:pPr>
    <w:r w:rsidRPr="00025C5C">
      <w:tab/>
    </w:r>
    <w:r w:rsidRPr="00025C5C">
      <w:fldChar w:fldCharType="begin"/>
    </w:r>
    <w:r w:rsidRPr="00025C5C">
      <w:instrText xml:space="preserve"> PAGE   \* MERGEFORMAT </w:instrText>
    </w:r>
    <w:r w:rsidRPr="00025C5C">
      <w:fldChar w:fldCharType="separate"/>
    </w:r>
    <w:r w:rsidRPr="00025C5C">
      <w:t>1</w:t>
    </w:r>
    <w:r w:rsidRPr="00025C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729DC090"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E6D8" w14:textId="77777777" w:rsidR="00FB4114" w:rsidRDefault="00FB4114">
      <w:r>
        <w:separator/>
      </w:r>
    </w:p>
  </w:footnote>
  <w:footnote w:type="continuationSeparator" w:id="0">
    <w:p w14:paraId="274217FB" w14:textId="77777777" w:rsidR="00FB4114" w:rsidRDefault="00FB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E41A" w14:textId="77777777" w:rsidR="002941EF" w:rsidRDefault="00294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28F14CA6" w:rsidR="00B21459" w:rsidRDefault="002941EF">
    <w:pPr>
      <w:pStyle w:val="Header"/>
    </w:pPr>
    <w:r>
      <w:rPr>
        <w:noProof/>
      </w:rPr>
      <w:drawing>
        <wp:anchor distT="0" distB="0" distL="114300" distR="114300" simplePos="0" relativeHeight="251666432" behindDoc="1" locked="0" layoutInCell="1" allowOverlap="1" wp14:anchorId="44FEE6A5" wp14:editId="0BFFEDBB">
          <wp:simplePos x="0" y="0"/>
          <wp:positionH relativeFrom="column">
            <wp:posOffset>-796290</wp:posOffset>
          </wp:positionH>
          <wp:positionV relativeFrom="paragraph">
            <wp:posOffset>-426720</wp:posOffset>
          </wp:positionV>
          <wp:extent cx="7560000" cy="676878"/>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6768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21FCC90" w:rsidR="00F35699" w:rsidRDefault="00F35699">
    <w:pPr>
      <w:pStyle w:val="Header"/>
    </w:pPr>
    <w:r>
      <w:rPr>
        <w:noProof/>
      </w:rPr>
      <w:drawing>
        <wp:anchor distT="0" distB="0" distL="114300" distR="114300" simplePos="0" relativeHeight="251665408" behindDoc="1" locked="0" layoutInCell="1" allowOverlap="1" wp14:anchorId="43AA2F6B" wp14:editId="6584E6AB">
          <wp:simplePos x="0" y="0"/>
          <wp:positionH relativeFrom="page">
            <wp:align>right</wp:align>
          </wp:positionH>
          <wp:positionV relativeFrom="paragraph">
            <wp:posOffset>-573405</wp:posOffset>
          </wp:positionV>
          <wp:extent cx="7560000" cy="1207404"/>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530BF6"/>
    <w:multiLevelType w:val="hybridMultilevel"/>
    <w:tmpl w:val="396A204E"/>
    <w:lvl w:ilvl="0" w:tplc="D52A29D0">
      <w:start w:val="1"/>
      <w:numFmt w:val="bullet"/>
      <w:lvlText w:val=""/>
      <w:lvlJc w:val="left"/>
      <w:pPr>
        <w:ind w:left="462" w:hanging="361"/>
      </w:pPr>
      <w:rPr>
        <w:rFonts w:ascii="Symbol" w:eastAsia="Symbol" w:hAnsi="Symbol" w:hint="default"/>
        <w:w w:val="102"/>
        <w:sz w:val="22"/>
        <w:szCs w:val="22"/>
      </w:rPr>
    </w:lvl>
    <w:lvl w:ilvl="1" w:tplc="6EFC4FBE">
      <w:start w:val="1"/>
      <w:numFmt w:val="bullet"/>
      <w:lvlText w:val="•"/>
      <w:lvlJc w:val="left"/>
      <w:pPr>
        <w:ind w:left="1400" w:hanging="361"/>
      </w:pPr>
      <w:rPr>
        <w:rFonts w:hint="default"/>
      </w:rPr>
    </w:lvl>
    <w:lvl w:ilvl="2" w:tplc="98EC0FF0">
      <w:start w:val="1"/>
      <w:numFmt w:val="bullet"/>
      <w:lvlText w:val="•"/>
      <w:lvlJc w:val="left"/>
      <w:pPr>
        <w:ind w:left="2339" w:hanging="361"/>
      </w:pPr>
      <w:rPr>
        <w:rFonts w:hint="default"/>
      </w:rPr>
    </w:lvl>
    <w:lvl w:ilvl="3" w:tplc="DF8CB580">
      <w:start w:val="1"/>
      <w:numFmt w:val="bullet"/>
      <w:lvlText w:val="•"/>
      <w:lvlJc w:val="left"/>
      <w:pPr>
        <w:ind w:left="3278" w:hanging="361"/>
      </w:pPr>
      <w:rPr>
        <w:rFonts w:hint="default"/>
      </w:rPr>
    </w:lvl>
    <w:lvl w:ilvl="4" w:tplc="6DB07CC2">
      <w:start w:val="1"/>
      <w:numFmt w:val="bullet"/>
      <w:lvlText w:val="•"/>
      <w:lvlJc w:val="left"/>
      <w:pPr>
        <w:ind w:left="4217" w:hanging="361"/>
      </w:pPr>
      <w:rPr>
        <w:rFonts w:hint="default"/>
      </w:rPr>
    </w:lvl>
    <w:lvl w:ilvl="5" w:tplc="BC94F880">
      <w:start w:val="1"/>
      <w:numFmt w:val="bullet"/>
      <w:lvlText w:val="•"/>
      <w:lvlJc w:val="left"/>
      <w:pPr>
        <w:ind w:left="5156" w:hanging="361"/>
      </w:pPr>
      <w:rPr>
        <w:rFonts w:hint="default"/>
      </w:rPr>
    </w:lvl>
    <w:lvl w:ilvl="6" w:tplc="F1EA2262">
      <w:start w:val="1"/>
      <w:numFmt w:val="bullet"/>
      <w:lvlText w:val="•"/>
      <w:lvlJc w:val="left"/>
      <w:pPr>
        <w:ind w:left="6094" w:hanging="361"/>
      </w:pPr>
      <w:rPr>
        <w:rFonts w:hint="default"/>
      </w:rPr>
    </w:lvl>
    <w:lvl w:ilvl="7" w:tplc="90C2FBBC">
      <w:start w:val="1"/>
      <w:numFmt w:val="bullet"/>
      <w:lvlText w:val="•"/>
      <w:lvlJc w:val="left"/>
      <w:pPr>
        <w:ind w:left="7033" w:hanging="361"/>
      </w:pPr>
      <w:rPr>
        <w:rFonts w:hint="default"/>
      </w:rPr>
    </w:lvl>
    <w:lvl w:ilvl="8" w:tplc="2586D490">
      <w:start w:val="1"/>
      <w:numFmt w:val="bullet"/>
      <w:lvlText w:val="•"/>
      <w:lvlJc w:val="left"/>
      <w:pPr>
        <w:ind w:left="7972" w:hanging="361"/>
      </w:pPr>
      <w:rPr>
        <w:rFonts w:hint="default"/>
      </w:rPr>
    </w:lvl>
  </w:abstractNum>
  <w:num w:numId="1" w16cid:durableId="1662583092">
    <w:abstractNumId w:val="0"/>
  </w:num>
  <w:num w:numId="2" w16cid:durableId="138059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931"/>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1EA3"/>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5B47"/>
    <w:rsid w:val="0010628E"/>
    <w:rsid w:val="00106CAC"/>
    <w:rsid w:val="0011106E"/>
    <w:rsid w:val="00111B7C"/>
    <w:rsid w:val="0011517B"/>
    <w:rsid w:val="00115766"/>
    <w:rsid w:val="00115E04"/>
    <w:rsid w:val="00117319"/>
    <w:rsid w:val="001173AF"/>
    <w:rsid w:val="0012336C"/>
    <w:rsid w:val="00125A9E"/>
    <w:rsid w:val="00127308"/>
    <w:rsid w:val="00130032"/>
    <w:rsid w:val="00130C1C"/>
    <w:rsid w:val="00132FF7"/>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EBB"/>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41EF"/>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6EA"/>
    <w:rsid w:val="0031271C"/>
    <w:rsid w:val="00313BE3"/>
    <w:rsid w:val="00317A94"/>
    <w:rsid w:val="00317B8E"/>
    <w:rsid w:val="00322263"/>
    <w:rsid w:val="00322C3D"/>
    <w:rsid w:val="00323C8B"/>
    <w:rsid w:val="0032578E"/>
    <w:rsid w:val="00325B61"/>
    <w:rsid w:val="00326E26"/>
    <w:rsid w:val="0033480A"/>
    <w:rsid w:val="00335E8D"/>
    <w:rsid w:val="00341C30"/>
    <w:rsid w:val="00342E93"/>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5173"/>
    <w:rsid w:val="00456F37"/>
    <w:rsid w:val="004573DB"/>
    <w:rsid w:val="00460670"/>
    <w:rsid w:val="00461540"/>
    <w:rsid w:val="00462DFB"/>
    <w:rsid w:val="00463665"/>
    <w:rsid w:val="00464047"/>
    <w:rsid w:val="00464E12"/>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46F"/>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4D8"/>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571C"/>
    <w:rsid w:val="006563E8"/>
    <w:rsid w:val="0065671E"/>
    <w:rsid w:val="006609C0"/>
    <w:rsid w:val="00660F23"/>
    <w:rsid w:val="00661A6C"/>
    <w:rsid w:val="00662DB3"/>
    <w:rsid w:val="00665207"/>
    <w:rsid w:val="0066689B"/>
    <w:rsid w:val="00666D90"/>
    <w:rsid w:val="0066728C"/>
    <w:rsid w:val="006705CF"/>
    <w:rsid w:val="0067331A"/>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04E3"/>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A38"/>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5D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62AF"/>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57C6"/>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2E9"/>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9C0"/>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730"/>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62F"/>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1A4F"/>
    <w:rsid w:val="00CA22A3"/>
    <w:rsid w:val="00CA2C47"/>
    <w:rsid w:val="00CA54E0"/>
    <w:rsid w:val="00CA5CC6"/>
    <w:rsid w:val="00CB253F"/>
    <w:rsid w:val="00CB2D98"/>
    <w:rsid w:val="00CB307C"/>
    <w:rsid w:val="00CB7A6B"/>
    <w:rsid w:val="00CC2FFE"/>
    <w:rsid w:val="00CC4468"/>
    <w:rsid w:val="00CC7E7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2D2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2608"/>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5DA"/>
    <w:rsid w:val="00F40AAE"/>
    <w:rsid w:val="00F41177"/>
    <w:rsid w:val="00F4345C"/>
    <w:rsid w:val="00F43517"/>
    <w:rsid w:val="00F4620B"/>
    <w:rsid w:val="00F464A2"/>
    <w:rsid w:val="00F46FE3"/>
    <w:rsid w:val="00F47476"/>
    <w:rsid w:val="00F47D26"/>
    <w:rsid w:val="00F5125C"/>
    <w:rsid w:val="00F51A2F"/>
    <w:rsid w:val="00F523EB"/>
    <w:rsid w:val="00F52B97"/>
    <w:rsid w:val="00F56CDC"/>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4114"/>
    <w:rsid w:val="00FC0068"/>
    <w:rsid w:val="00FC1EDF"/>
    <w:rsid w:val="00FC2ED0"/>
    <w:rsid w:val="00FC3F91"/>
    <w:rsid w:val="00FC48E3"/>
    <w:rsid w:val="00FC498C"/>
    <w:rsid w:val="00FD21A6"/>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D52D2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Care agreements</vt:lpstr>
    </vt:vector>
  </TitlesOfParts>
  <Manager/>
  <Company/>
  <LinksUpToDate>false</LinksUpToDate>
  <CharactersWithSpaces>6533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agreements</dc:title>
  <dc:subject>Queensland child protection policy</dc:subject>
  <dc:creator>Queensland Government</dc:creator>
  <cp:keywords>child protection policy; 415; care agreement; parental consent; assessment; arrangement; duration; retain rights; custody; guardianship</cp:keywords>
  <cp:lastModifiedBy>Clare Lockitt</cp:lastModifiedBy>
  <cp:revision>4</cp:revision>
  <dcterms:created xsi:type="dcterms:W3CDTF">2025-02-21T00:31:00Z</dcterms:created>
  <dcterms:modified xsi:type="dcterms:W3CDTF">2025-04-10T00:02:00Z</dcterms:modified>
  <cp:category/>
</cp:coreProperties>
</file>